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ind w:left="478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514" w:gutter="0" w:footer="0" w:header="0"/>
        </w:sectPr>
      </w:pPr>
    </w:p>
    <w:p>
      <w:pPr>
        <w:spacing w:after="0" w:line="261" w:lineRule="exact"/>
        <w:rPr>
          <w:sz w:val="24"/>
          <w:szCs w:val="24"/>
          <w:color w:val="auto"/>
        </w:rPr>
      </w:pPr>
    </w:p>
    <w:p>
      <w:pPr>
        <w:jc w:val="both"/>
        <w:ind w:left="3340" w:firstLine="610"/>
        <w:spacing w:after="0" w:line="299"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67" w:lineRule="exact"/>
        <w:rPr>
          <w:sz w:val="24"/>
          <w:szCs w:val="24"/>
          <w:color w:val="auto"/>
        </w:rPr>
      </w:pPr>
    </w:p>
    <w:p>
      <w:pPr>
        <w:sectPr>
          <w:pgSz w:w="11900" w:h="16838" w:orient="portrait"/>
          <w:cols w:equalWidth="0" w:num="2">
            <w:col w:w="7540" w:space="500"/>
            <w:col w:w="2179"/>
          </w:cols>
          <w:pgMar w:left="240" w:top="685" w:right="1440" w:bottom="514"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46"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514" w:gutter="0" w:footer="0" w:header="0"/>
          <w:type w:val="continuous"/>
        </w:sectPr>
      </w:pPr>
    </w:p>
    <w:p>
      <w:pPr>
        <w:spacing w:after="0" w:line="239"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0"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338455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980" w:right="99" w:hanging="439"/>
        <w:spacing w:after="0" w:line="239"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jc w:val="both"/>
        <w:ind w:left="1540" w:right="79" w:hanging="391"/>
        <w:spacing w:after="0" w:line="238"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-3297555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-3005455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-2585720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-2293620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-2002155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-724535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-433070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-141605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149860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51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75460" cy="1183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546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3"/>
          <w:szCs w:val="43"/>
          <w:color w:val="auto"/>
        </w:rPr>
        <w:t>NOTICE OF 2010</w:t>
      </w:r>
    </w:p>
    <w:p>
      <w:pPr>
        <w:spacing w:after="0" w:line="7" w:lineRule="exact"/>
        <w:rPr>
          <w:sz w:val="20"/>
          <w:szCs w:val="20"/>
          <w:color w:val="auto"/>
        </w:rPr>
      </w:pPr>
    </w:p>
    <w:p>
      <w:pPr>
        <w:spacing w:after="0"/>
        <w:rPr>
          <w:sz w:val="20"/>
          <w:szCs w:val="20"/>
          <w:color w:val="auto"/>
        </w:rPr>
      </w:pPr>
      <w:r>
        <w:rPr>
          <w:rFonts w:ascii="Arial" w:cs="Arial" w:eastAsia="Arial" w:hAnsi="Arial"/>
          <w:sz w:val="43"/>
          <w:szCs w:val="43"/>
          <w:color w:val="auto"/>
        </w:rPr>
        <w:t>ANNUAL MEETING AND</w:t>
      </w:r>
    </w:p>
    <w:p>
      <w:pPr>
        <w:spacing w:after="0" w:line="219" w:lineRule="exact"/>
        <w:rPr>
          <w:sz w:val="20"/>
          <w:szCs w:val="20"/>
          <w:color w:val="auto"/>
        </w:rPr>
      </w:pPr>
    </w:p>
    <w:p>
      <w:pPr>
        <w:spacing w:after="0"/>
        <w:rPr>
          <w:sz w:val="20"/>
          <w:szCs w:val="20"/>
          <w:color w:val="auto"/>
        </w:rPr>
      </w:pPr>
      <w:r>
        <w:rPr>
          <w:rFonts w:ascii="Arial" w:cs="Arial" w:eastAsia="Arial" w:hAnsi="Arial"/>
          <w:sz w:val="43"/>
          <w:szCs w:val="43"/>
          <w:color w:val="auto"/>
        </w:rPr>
        <w:t>PROXY STATEMENT</w:t>
      </w: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color w:val="auto"/>
        </w:rPr>
        <w:t>FOR MARCH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75460" cy="1183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546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3200"/>
        <w:spacing w:after="0"/>
        <w:rPr>
          <w:sz w:val="20"/>
          <w:szCs w:val="20"/>
          <w:color w:val="auto"/>
        </w:rPr>
      </w:pPr>
      <w:r>
        <w:rPr>
          <w:rFonts w:ascii="Arial" w:cs="Arial" w:eastAsia="Arial" w:hAnsi="Arial"/>
          <w:sz w:val="18"/>
          <w:szCs w:val="18"/>
          <w:b w:val="1"/>
          <w:bCs w:val="1"/>
          <w:color w:val="auto"/>
        </w:rPr>
        <w:t>Telephone 952-888-8801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Hoffman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CEO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us for The Toro Company 2010 Annual Meeting of Shareholders to be held on Tuesday, March 16, 2010, at</w:t>
      </w:r>
    </w:p>
    <w:p>
      <w:pPr>
        <w:ind w:right="260"/>
        <w:spacing w:after="0" w:line="239" w:lineRule="auto"/>
        <w:rPr>
          <w:sz w:val="20"/>
          <w:szCs w:val="20"/>
          <w:color w:val="auto"/>
        </w:rPr>
      </w:pPr>
      <w:r>
        <w:rPr>
          <w:rFonts w:ascii="Arial" w:cs="Arial" w:eastAsia="Arial" w:hAnsi="Arial"/>
          <w:sz w:val="18"/>
          <w:szCs w:val="18"/>
          <w:color w:val="auto"/>
        </w:rPr>
        <w:t>1:30 p.m., Central Daylight Time, at our corporate offices. Details about the annual meeting, nominees for election to the Board of Directors and other matters to be acted on at the annual meeting are presented in the Notice of Annual Meeting and proxy statement that follow.</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It is important that your shares be represented at the 2010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an electronic or paper copy of our proxy materials, by completing, signing, dating and returning your proxy card or by Internet or telephone voting as described in the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85229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190"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b w:val="1"/>
          <w:bCs w:val="1"/>
          <w:color w:val="auto"/>
        </w:rPr>
        <w:t>Your vote is important. Please exercise your right to vote as soon as possible by following the instructions for voting on the Notice Regarding the Availability of Proxy Materials you received for the meeting or, if you received an electronic or paper copy of our proxy materials, by completing, signing, dating and returning your proxy card or by Internet or telephone voting as described in the proxy statement. By doing so, you may save us the expense of additional solicitation.</w:t>
      </w:r>
    </w:p>
    <w:p>
      <w:pPr>
        <w:spacing w:after="0" w:line="185"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b w:val="1"/>
          <w:bCs w:val="1"/>
          <w:color w:val="auto"/>
        </w:rPr>
        <w:t>You also can help us make a difference by eliminating paper proxy mailings. With your consent, we will provide all future proxy materials electronically. Instructions for consenting to electronic delivery can be found on your proxy card or Notice Regarding the Availability of Proxy Materials. Your consent to receive shareholder materials electronically will remain in effect until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75460" cy="1183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546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261" w:lineRule="exact"/>
        <w:rPr>
          <w:sz w:val="20"/>
          <w:szCs w:val="20"/>
          <w:color w:val="auto"/>
        </w:rPr>
      </w:pPr>
    </w:p>
    <w:p>
      <w:pPr>
        <w:ind w:firstLine="387"/>
        <w:spacing w:after="0" w:line="239" w:lineRule="auto"/>
        <w:rPr>
          <w:sz w:val="20"/>
          <w:szCs w:val="20"/>
          <w:color w:val="auto"/>
        </w:rPr>
      </w:pPr>
      <w:r>
        <w:rPr>
          <w:rFonts w:ascii="Arial" w:cs="Arial" w:eastAsia="Arial" w:hAnsi="Arial"/>
          <w:sz w:val="18"/>
          <w:szCs w:val="18"/>
          <w:color w:val="auto"/>
        </w:rPr>
        <w:t>The Toro Company 2010 Annual Meeting of Shareholders will be held on Tuesday, March 16, 2010, at 1:30 p.m., Central Daylight Time, at our corporate offices located at 8111 Lyndale Avenue South, Bloomington, Minnesota, 55420-1196, for the following purposes:</w:t>
      </w:r>
    </w:p>
    <w:p>
      <w:pPr>
        <w:spacing w:after="0" w:line="209" w:lineRule="exact"/>
        <w:rPr>
          <w:sz w:val="20"/>
          <w:szCs w:val="20"/>
          <w:color w:val="auto"/>
        </w:rPr>
      </w:pPr>
    </w:p>
    <w:p>
      <w:pPr>
        <w:ind w:left="1080" w:right="2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years ending at the 2013 Annual Meeting of Shareholders;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Toro Company 2010 Equity and Incentive Plan;</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2010; and</w:t>
      </w:r>
    </w:p>
    <w:p>
      <w:pPr>
        <w:spacing w:after="0" w:line="195"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2010 Annual Meeting or any adjournment or postponement of the 2010 Annual Meeting.</w:t>
      </w:r>
    </w:p>
    <w:p>
      <w:pPr>
        <w:spacing w:after="0" w:line="209" w:lineRule="exact"/>
        <w:rPr>
          <w:sz w:val="20"/>
          <w:szCs w:val="20"/>
          <w:color w:val="auto"/>
        </w:rPr>
      </w:pPr>
    </w:p>
    <w:p>
      <w:pPr>
        <w:ind w:right="20" w:firstLine="391"/>
        <w:spacing w:after="0" w:line="299" w:lineRule="auto"/>
        <w:rPr>
          <w:sz w:val="20"/>
          <w:szCs w:val="20"/>
          <w:color w:val="auto"/>
        </w:rPr>
      </w:pPr>
      <w:r>
        <w:rPr>
          <w:rFonts w:ascii="Arial" w:cs="Arial" w:eastAsia="Arial" w:hAnsi="Arial"/>
          <w:sz w:val="16"/>
          <w:szCs w:val="16"/>
          <w:color w:val="auto"/>
        </w:rPr>
        <w:t>We currently are not aware of any other business to be brought before the annual meeting. Shareholders of record at the close of business on January 20, 2010, the record date, will be entitled to vote at the annual meeting or at any adjournment or postponement of the annual meeting.</w:t>
      </w:r>
    </w:p>
    <w:p>
      <w:pPr>
        <w:spacing w:after="0" w:line="163" w:lineRule="exact"/>
        <w:rPr>
          <w:sz w:val="20"/>
          <w:szCs w:val="20"/>
          <w:color w:val="auto"/>
        </w:rPr>
      </w:pPr>
    </w:p>
    <w:p>
      <w:pPr>
        <w:ind w:right="360" w:firstLine="381"/>
        <w:spacing w:after="0" w:line="239" w:lineRule="auto"/>
        <w:rPr>
          <w:sz w:val="20"/>
          <w:szCs w:val="20"/>
          <w:color w:val="auto"/>
        </w:rPr>
      </w:pPr>
      <w:r>
        <w:rPr>
          <w:rFonts w:ascii="Arial" w:cs="Arial" w:eastAsia="Arial" w:hAnsi="Arial"/>
          <w:sz w:val="18"/>
          <w:szCs w:val="18"/>
          <w:color w:val="auto"/>
        </w:rPr>
        <w:t>A shareholder list will be available at our corporate offices beginning March 5, 2010, during normal business hours for examination by any shareholder registered on our stock ledger as of the record date for any purpose germane to the annual meeting.</w:t>
      </w:r>
    </w:p>
    <w:p>
      <w:pPr>
        <w:spacing w:after="0" w:line="209" w:lineRule="exact"/>
        <w:rPr>
          <w:sz w:val="20"/>
          <w:szCs w:val="20"/>
          <w:color w:val="auto"/>
        </w:rPr>
      </w:pPr>
    </w:p>
    <w:p>
      <w:pPr>
        <w:ind w:right="20" w:firstLine="391"/>
        <w:spacing w:after="0" w:line="237" w:lineRule="auto"/>
        <w:rPr>
          <w:sz w:val="20"/>
          <w:szCs w:val="20"/>
          <w:color w:val="auto"/>
        </w:rPr>
      </w:pPr>
      <w:r>
        <w:rPr>
          <w:rFonts w:ascii="Arial" w:cs="Arial" w:eastAsia="Arial" w:hAnsi="Arial"/>
          <w:sz w:val="18"/>
          <w:szCs w:val="18"/>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8"/>
          <w:szCs w:val="18"/>
          <w:b w:val="1"/>
          <w:bCs w:val="1"/>
          <w:color w:val="auto"/>
        </w:rPr>
        <w:t>please promptly vote your shares by following the instructions for voting on the Notice Regarding the Availability</w:t>
      </w:r>
      <w:r>
        <w:rPr>
          <w:rFonts w:ascii="Arial" w:cs="Arial" w:eastAsia="Arial" w:hAnsi="Arial"/>
          <w:sz w:val="18"/>
          <w:szCs w:val="18"/>
          <w:color w:val="auto"/>
        </w:rPr>
        <w:t xml:space="preserve"> </w:t>
      </w:r>
      <w:r>
        <w:rPr>
          <w:rFonts w:ascii="Arial" w:cs="Arial" w:eastAsia="Arial" w:hAnsi="Arial"/>
          <w:sz w:val="18"/>
          <w:szCs w:val="18"/>
          <w:b w:val="1"/>
          <w:bCs w:val="1"/>
          <w:color w:val="auto"/>
        </w:rPr>
        <w:t>of Proxy Materials you received for the meeting or, if you received an electronic or paper copy of our proxy materials, by completing, signing, dating and returning your proxy card or by Internet or telephone voting as described in the proxy statement</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February 2, 2010</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163830</wp:posOffset>
            </wp:positionV>
            <wp:extent cx="174942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94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27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2760"/>
        <w:spacing w:after="0"/>
        <w:rPr>
          <w:sz w:val="20"/>
          <w:szCs w:val="20"/>
          <w:color w:val="auto"/>
        </w:rPr>
      </w:pPr>
      <w:r>
        <w:rPr>
          <w:rFonts w:ascii="Arial" w:cs="Arial" w:eastAsia="Arial" w:hAnsi="Arial"/>
          <w:sz w:val="18"/>
          <w:szCs w:val="18"/>
          <w:i w:val="1"/>
          <w:iCs w:val="1"/>
          <w:color w:val="auto"/>
        </w:rPr>
        <w:t>Vice President, Secretary and</w:t>
      </w:r>
    </w:p>
    <w:p>
      <w:pPr>
        <w:jc w:val="center"/>
        <w:ind w:left="2760"/>
        <w:spacing w:after="0"/>
        <w:rPr>
          <w:sz w:val="20"/>
          <w:szCs w:val="20"/>
          <w:color w:val="auto"/>
        </w:rPr>
      </w:pPr>
      <w:r>
        <w:rPr>
          <w:rFonts w:ascii="Arial" w:cs="Arial" w:eastAsia="Arial" w:hAnsi="Arial"/>
          <w:sz w:val="18"/>
          <w:szCs w:val="18"/>
          <w:i w:val="1"/>
          <w:i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440" w:type="dxa"/>
            <w:vAlign w:val="bottom"/>
            <w:gridSpan w:val="3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60" w:type="dxa"/>
            <w:vAlign w:val="bottom"/>
            <w:gridSpan w:val="16"/>
          </w:tcPr>
          <w:p>
            <w:pPr>
              <w:ind w:left="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5920" w:type="dxa"/>
            <w:vAlign w:val="bottom"/>
            <w:gridSpan w:val="35"/>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GENERAL INFORMATION ABOUT THE ANNUAL MEETING AND VOTING</w:t>
              </w:r>
            </w:hyperlink>
          </w:p>
        </w:tc>
        <w:tc>
          <w:tcPr>
            <w:tcW w:w="2380" w:type="dxa"/>
            <w:vAlign w:val="bottom"/>
            <w:gridSpan w:val="2"/>
          </w:tcPr>
          <w:p>
            <w:pPr>
              <w:spacing w:after="0"/>
              <w:rPr>
                <w:sz w:val="24"/>
                <w:szCs w:val="24"/>
                <w:color w:val="auto"/>
              </w:rPr>
            </w:pPr>
          </w:p>
        </w:tc>
        <w:tc>
          <w:tcPr>
            <w:tcW w:w="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Important Notice Regarding the Availability of Proxy Materials for the Shareholder Meeting to be Held</w:t>
              </w:r>
            </w:hyperlink>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12"/>
          </w:tcPr>
          <w:p>
            <w:pPr>
              <w:spacing w:after="0" w:line="18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on Tuesday, March 16, 2010</w:t>
              </w:r>
            </w:hyperlink>
          </w:p>
        </w:tc>
        <w:tc>
          <w:tcPr>
            <w:tcW w:w="5420" w:type="dxa"/>
            <w:vAlign w:val="bottom"/>
            <w:gridSpan w:val="22"/>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16"/>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Date, Time and Place of the Meeting</w:t>
              </w:r>
            </w:hyperlink>
          </w:p>
        </w:tc>
        <w:tc>
          <w:tcPr>
            <w:tcW w:w="5000" w:type="dxa"/>
            <w:vAlign w:val="bottom"/>
            <w:gridSpan w:val="19"/>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10"/>
          </w:tcPr>
          <w:p>
            <w:pPr>
              <w:spacing w:after="0" w:line="182"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Purposes of the Meeting</w:t>
              </w:r>
            </w:hyperlink>
          </w:p>
        </w:tc>
        <w:tc>
          <w:tcPr>
            <w:tcW w:w="960" w:type="dxa"/>
            <w:vAlign w:val="bottom"/>
            <w:gridSpan w:val="6"/>
          </w:tcPr>
          <w:p>
            <w:pPr>
              <w:spacing w:after="0"/>
              <w:rPr>
                <w:sz w:val="15"/>
                <w:szCs w:val="15"/>
                <w:color w:val="auto"/>
              </w:rPr>
            </w:pPr>
          </w:p>
        </w:tc>
        <w:tc>
          <w:tcPr>
            <w:tcW w:w="5000" w:type="dxa"/>
            <w:vAlign w:val="bottom"/>
            <w:gridSpan w:val="19"/>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10"/>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Who Can Vote</w:t>
              </w:r>
            </w:hyperlink>
          </w:p>
        </w:tc>
        <w:tc>
          <w:tcPr>
            <w:tcW w:w="5960" w:type="dxa"/>
            <w:vAlign w:val="bottom"/>
            <w:gridSpan w:val="25"/>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How You Can Vote</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How Does the Board Recommend that You Vote</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40" w:type="dxa"/>
            <w:vAlign w:val="bottom"/>
            <w:gridSpan w:val="2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You May Revoke or Change Your Vote</w:t>
              </w:r>
            </w:hyperlink>
          </w:p>
        </w:tc>
        <w:tc>
          <w:tcPr>
            <w:tcW w:w="4100" w:type="dxa"/>
            <w:vAlign w:val="bottom"/>
            <w:gridSpan w:val="13"/>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gridSpan w:val="20"/>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Quorum Requirement</w:t>
              </w:r>
            </w:hyperlink>
          </w:p>
        </w:tc>
        <w:tc>
          <w:tcPr>
            <w:tcW w:w="4460" w:type="dxa"/>
            <w:vAlign w:val="bottom"/>
            <w:gridSpan w:val="15"/>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Vote Required</w:t>
              </w:r>
            </w:hyperlink>
          </w:p>
        </w:tc>
        <w:tc>
          <w:tcPr>
            <w:tcW w:w="6160" w:type="dxa"/>
            <w:vAlign w:val="bottom"/>
            <w:gridSpan w:val="29"/>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Discretionary Voting and Adjournments</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Procedures at the 2010 Annual Meeting</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20"/>
        </w:trPr>
        <w:tc>
          <w:tcPr>
            <w:tcW w:w="1600" w:type="dxa"/>
            <w:vAlign w:val="bottom"/>
            <w:gridSpan w:val="3"/>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300" w:type="dxa"/>
            <w:vAlign w:val="bottom"/>
            <w:gridSpan w:val="3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STOCK OWNERSHIP</w:t>
              </w:r>
            </w:hyperlink>
          </w:p>
        </w:tc>
        <w:tc>
          <w:tcPr>
            <w:tcW w:w="68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Certain Beneficial Owners</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14"/>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Directors and Executive Officers</w:t>
              </w:r>
            </w:hyperlink>
          </w:p>
        </w:tc>
        <w:tc>
          <w:tcPr>
            <w:tcW w:w="5340" w:type="dxa"/>
            <w:vAlign w:val="bottom"/>
            <w:gridSpan w:val="21"/>
          </w:tcPr>
          <w:p>
            <w:pPr>
              <w:spacing w:after="0"/>
              <w:rPr>
                <w:sz w:val="15"/>
                <w:szCs w:val="15"/>
                <w:color w:val="auto"/>
              </w:rPr>
            </w:pPr>
          </w:p>
        </w:tc>
        <w:tc>
          <w:tcPr>
            <w:tcW w:w="680" w:type="dxa"/>
            <w:vAlign w:val="bottom"/>
            <w:gridSpan w:val="3"/>
          </w:tcPr>
          <w:p>
            <w:pPr>
              <w:jc w:val="right"/>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Section 16(a) Beneficial Ownership Reporting Compliance</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r>
      <w:tr>
        <w:trPr>
          <w:trHeight w:val="20"/>
        </w:trPr>
        <w:tc>
          <w:tcPr>
            <w:tcW w:w="1600" w:type="dxa"/>
            <w:vAlign w:val="bottom"/>
            <w:gridSpan w:val="3"/>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30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PROPOSAL ONE—ELECTION OF DIRECTORS</w:t>
              </w:r>
            </w:hyperlink>
          </w:p>
        </w:tc>
        <w:tc>
          <w:tcPr>
            <w:tcW w:w="68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183"/>
        </w:trPr>
        <w:tc>
          <w:tcPr>
            <w:tcW w:w="114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9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Number of Directors; Board Structure</w:t>
              </w:r>
            </w:hyperlink>
          </w:p>
        </w:tc>
        <w:tc>
          <w:tcPr>
            <w:tcW w:w="480" w:type="dxa"/>
            <w:vAlign w:val="bottom"/>
            <w:tcBorders>
              <w:top w:val="single" w:sz="8" w:color="0000EE"/>
            </w:tcBorders>
            <w:gridSpan w:val="3"/>
          </w:tcPr>
          <w:p>
            <w:pPr>
              <w:spacing w:after="0"/>
              <w:rPr>
                <w:sz w:val="15"/>
                <w:szCs w:val="15"/>
                <w:color w:val="auto"/>
              </w:rPr>
            </w:pPr>
          </w:p>
        </w:tc>
        <w:tc>
          <w:tcPr>
            <w:tcW w:w="4460" w:type="dxa"/>
            <w:vAlign w:val="bottom"/>
            <w:gridSpan w:val="15"/>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12</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Nominees for Director</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Board Recommendation</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20" w:type="dxa"/>
            <w:vAlign w:val="bottom"/>
            <w:tcBorders>
              <w:bottom w:val="single" w:sz="8" w:color="0000EE"/>
            </w:tcBorders>
            <w:gridSpan w:val="31"/>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Information About Board Nominees and Continuing Directors</w:t>
              </w:r>
            </w:hyperlink>
          </w:p>
        </w:tc>
        <w:tc>
          <w:tcPr>
            <w:tcW w:w="312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13</w:t>
              </w:r>
            </w:hyperlink>
          </w:p>
        </w:tc>
      </w:tr>
      <w:tr>
        <w:trPr>
          <w:trHeight w:val="412"/>
        </w:trPr>
        <w:tc>
          <w:tcPr>
            <w:tcW w:w="1140" w:type="dxa"/>
            <w:vAlign w:val="bottom"/>
          </w:tcPr>
          <w:p>
            <w:pPr>
              <w:spacing w:after="0"/>
              <w:rPr>
                <w:sz w:val="24"/>
                <w:szCs w:val="24"/>
                <w:color w:val="auto"/>
              </w:rPr>
            </w:pPr>
          </w:p>
        </w:tc>
        <w:tc>
          <w:tcPr>
            <w:tcW w:w="8300" w:type="dxa"/>
            <w:vAlign w:val="bottom"/>
            <w:gridSpan w:val="3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CORPORATE GOVERNANCE</w:t>
              </w:r>
            </w:hyperlink>
          </w:p>
        </w:tc>
        <w:tc>
          <w:tcPr>
            <w:tcW w:w="6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Corporate Governance Guidelines</w:t>
              </w:r>
            </w:hyperlink>
          </w:p>
        </w:tc>
        <w:tc>
          <w:tcPr>
            <w:tcW w:w="5180" w:type="dxa"/>
            <w:vAlign w:val="bottom"/>
            <w:gridSpan w:val="20"/>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15</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Director Independence</w:t>
              </w:r>
            </w:hyperlink>
          </w:p>
        </w:tc>
        <w:tc>
          <w:tcPr>
            <w:tcW w:w="6060" w:type="dxa"/>
            <w:vAlign w:val="bottom"/>
            <w:gridSpan w:val="27"/>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16</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Presiding Non-Management Director; Executive Sessions</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Director Attendance</w:t>
              </w:r>
            </w:hyperlink>
          </w:p>
        </w:tc>
        <w:tc>
          <w:tcPr>
            <w:tcW w:w="3320" w:type="dxa"/>
            <w:vAlign w:val="bottom"/>
            <w:gridSpan w:val="6"/>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17</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Board Committees</w:t>
              </w:r>
            </w:hyperlink>
          </w:p>
        </w:tc>
        <w:tc>
          <w:tcPr>
            <w:tcW w:w="6300" w:type="dxa"/>
            <w:vAlign w:val="bottom"/>
            <w:gridSpan w:val="30"/>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17</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Director Compensation</w:t>
              </w:r>
            </w:hyperlink>
          </w:p>
        </w:tc>
        <w:tc>
          <w:tcPr>
            <w:tcW w:w="6040" w:type="dxa"/>
            <w:vAlign w:val="bottom"/>
            <w:gridSpan w:val="26"/>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23</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60" w:type="dxa"/>
            <w:vAlign w:val="bottom"/>
            <w:tcBorders>
              <w:bottom w:val="single" w:sz="8" w:color="0000EE"/>
            </w:tcBorders>
            <w:gridSpan w:val="32"/>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Policies and Procedures Regarding Related Person Transactions</w:t>
              </w:r>
            </w:hyperlink>
          </w:p>
        </w:tc>
        <w:tc>
          <w:tcPr>
            <w:tcW w:w="27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30</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Board of Directors Business Ethics Policy Statement</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30</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1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Code of Conduct and Code of Ethics for our CEO and Senior Financial Officers</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30</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2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Complaint Procedure; Communications with Directors</w:t>
              </w:r>
            </w:hyperlink>
          </w:p>
        </w:tc>
        <w:tc>
          <w:tcPr>
            <w:tcW w:w="1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31</w:t>
              </w:r>
            </w:hyperlink>
          </w:p>
        </w:tc>
      </w:tr>
      <w:tr>
        <w:trPr>
          <w:trHeight w:val="20"/>
        </w:trPr>
        <w:tc>
          <w:tcPr>
            <w:tcW w:w="1600" w:type="dxa"/>
            <w:vAlign w:val="bottom"/>
            <w:gridSpan w:val="3"/>
          </w:tcPr>
          <w:p>
            <w:pPr>
              <w:spacing w:after="0" w:line="20" w:lineRule="exact"/>
              <w:rPr>
                <w:sz w:val="1"/>
                <w:szCs w:val="1"/>
                <w:color w:val="auto"/>
              </w:rPr>
            </w:pPr>
          </w:p>
        </w:tc>
        <w:tc>
          <w:tcPr>
            <w:tcW w:w="2000" w:type="dxa"/>
            <w:vAlign w:val="bottom"/>
            <w:gridSpan w:val="12"/>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300" w:type="dxa"/>
            <w:vAlign w:val="bottom"/>
            <w:gridSpan w:val="3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6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32</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1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&amp; Human Resources Committee Report</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32</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Discussion and Analysis</w:t>
              </w:r>
            </w:hyperlink>
          </w:p>
        </w:tc>
        <w:tc>
          <w:tcPr>
            <w:tcW w:w="358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32</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Summary Compensation Table</w:t>
              </w:r>
            </w:hyperlink>
          </w:p>
        </w:tc>
        <w:tc>
          <w:tcPr>
            <w:tcW w:w="660" w:type="dxa"/>
            <w:vAlign w:val="bottom"/>
            <w:tcBorders>
              <w:top w:val="single" w:sz="8" w:color="0000EE"/>
            </w:tcBorders>
            <w:gridSpan w:val="6"/>
          </w:tcPr>
          <w:p>
            <w:pPr>
              <w:spacing w:after="0"/>
              <w:rPr>
                <w:sz w:val="15"/>
                <w:szCs w:val="15"/>
                <w:color w:val="auto"/>
              </w:rPr>
            </w:pPr>
          </w:p>
        </w:tc>
        <w:tc>
          <w:tcPr>
            <w:tcW w:w="4760" w:type="dxa"/>
            <w:vAlign w:val="bottom"/>
            <w:gridSpan w:val="16"/>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50</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Grants of Plan-Based Awards for Fiscal 2009</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00" w:type="dxa"/>
            <w:vAlign w:val="bottom"/>
            <w:gridSpan w:val="21"/>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80" w:type="dxa"/>
            <w:vAlign w:val="bottom"/>
            <w:tcBorders>
              <w:bottom w:val="single" w:sz="8" w:color="0000EE"/>
            </w:tcBorders>
            <w:gridSpan w:val="28"/>
          </w:tcPr>
          <w:p>
            <w:pPr>
              <w:spacing w:after="0" w:line="182"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Outstanding Equity Awards at Fiscal Year-End for 2009</w:t>
              </w:r>
            </w:hyperlink>
          </w:p>
        </w:tc>
        <w:tc>
          <w:tcPr>
            <w:tcW w:w="3560" w:type="dxa"/>
            <w:vAlign w:val="bottom"/>
            <w:gridSpan w:val="7"/>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54</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Borders>
              <w:bottom w:val="single" w:sz="8" w:color="0000EE"/>
            </w:tcBorders>
            <w:gridSpan w:val="23"/>
          </w:tcPr>
          <w:p>
            <w:pPr>
              <w:spacing w:after="0" w:line="182"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Option Exercises and Stock Vested for Fiscal 2009</w:t>
              </w:r>
            </w:hyperlink>
          </w:p>
        </w:tc>
        <w:tc>
          <w:tcPr>
            <w:tcW w:w="3900" w:type="dxa"/>
            <w:vAlign w:val="bottom"/>
            <w:gridSpan w:val="1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56</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40" w:type="dxa"/>
            <w:vAlign w:val="bottom"/>
            <w:gridSpan w:val="35"/>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Nonqualified Deferred Compensation for Fiscal 2009</w:t>
              </w:r>
            </w:hyperlink>
          </w:p>
        </w:tc>
        <w:tc>
          <w:tcPr>
            <w:tcW w:w="680" w:type="dxa"/>
            <w:vAlign w:val="bottom"/>
            <w:gridSpan w:val="3"/>
          </w:tcPr>
          <w:p>
            <w:pPr>
              <w:jc w:val="right"/>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gridSpan w:val="25"/>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20" w:type="dxa"/>
            <w:vAlign w:val="bottom"/>
            <w:tcBorders>
              <w:bottom w:val="single" w:sz="8" w:color="0000EE"/>
            </w:tcBorders>
            <w:gridSpan w:val="30"/>
          </w:tcPr>
          <w:p>
            <w:pPr>
              <w:spacing w:after="0" w:line="182"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Potential Payments Upon Termination or Change of Control</w:t>
              </w:r>
            </w:hyperlink>
          </w:p>
        </w:tc>
        <w:tc>
          <w:tcPr>
            <w:tcW w:w="322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58</w:t>
              </w:r>
            </w:hyperlink>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Table of Contents</w:t>
              </w:r>
            </w:hyperlink>
          </w:p>
        </w:tc>
        <w:tc>
          <w:tcPr>
            <w:tcW w:w="8540" w:type="dxa"/>
            <w:vAlign w:val="bottom"/>
            <w:gridSpan w:val="21"/>
          </w:tcPr>
          <w:p>
            <w:pPr>
              <w:spacing w:after="0"/>
              <w:rPr>
                <w:sz w:val="17"/>
                <w:szCs w:val="17"/>
                <w:color w:val="auto"/>
              </w:rPr>
            </w:pPr>
          </w:p>
        </w:tc>
        <w:tc>
          <w:tcPr>
            <w:tcW w:w="200" w:type="dxa"/>
            <w:vAlign w:val="bottom"/>
          </w:tcPr>
          <w:p>
            <w:pPr>
              <w:spacing w:after="0"/>
              <w:rPr>
                <w:sz w:val="17"/>
                <w:szCs w:val="17"/>
                <w:color w:val="auto"/>
              </w:rPr>
            </w:pPr>
          </w:p>
        </w:tc>
      </w:tr>
      <w:tr>
        <w:trPr>
          <w:trHeight w:val="399"/>
        </w:trPr>
        <w:tc>
          <w:tcPr>
            <w:tcW w:w="114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PROPOSAL TWO—APPROVAL OF THE TORO COMPANY 2010 EQUITY AND INCENTIVE PLAN</w:t>
              </w:r>
            </w:hyperlink>
          </w:p>
        </w:tc>
        <w:tc>
          <w:tcPr>
            <w:tcW w:w="200" w:type="dxa"/>
            <w:vAlign w:val="bottom"/>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69</w:t>
              </w:r>
            </w:hyperlink>
          </w:p>
        </w:tc>
      </w:tr>
      <w:tr>
        <w:trPr>
          <w:trHeight w:val="183"/>
        </w:trPr>
        <w:tc>
          <w:tcPr>
            <w:tcW w:w="114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6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Proposed New 2010 Equity and Incentive Plan</w:t>
              </w:r>
            </w:hyperlink>
          </w:p>
        </w:tc>
        <w:tc>
          <w:tcPr>
            <w:tcW w:w="3680" w:type="dxa"/>
            <w:vAlign w:val="bottom"/>
            <w:tcBorders>
              <w:top w:val="single" w:sz="8" w:color="0000EE"/>
            </w:tcBorders>
            <w:gridSpan w:val="6"/>
          </w:tcPr>
          <w:p>
            <w:pPr>
              <w:spacing w:after="0"/>
              <w:rPr>
                <w:sz w:val="15"/>
                <w:szCs w:val="15"/>
                <w:color w:val="auto"/>
              </w:rPr>
            </w:pPr>
          </w:p>
        </w:tc>
        <w:tc>
          <w:tcPr>
            <w:tcW w:w="102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69</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20" w:type="dxa"/>
            <w:vAlign w:val="bottom"/>
            <w:gridSpan w:val="2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Board Recommendation</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70</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20" w:type="dxa"/>
            <w:vAlign w:val="bottom"/>
            <w:gridSpan w:val="2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Reasons Why You Should Vote in Favor of the Approval of the 2010 Plan</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70</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Summary of Sound Governance Features of the 2010 Plan</w:t>
              </w:r>
            </w:hyperlink>
          </w:p>
        </w:tc>
        <w:tc>
          <w:tcPr>
            <w:tcW w:w="1080" w:type="dxa"/>
            <w:vAlign w:val="bottom"/>
            <w:tcBorders>
              <w:top w:val="single" w:sz="8" w:color="0000EE"/>
            </w:tcBorders>
            <w:gridSpan w:val="2"/>
          </w:tcPr>
          <w:p>
            <w:pPr>
              <w:spacing w:after="0"/>
              <w:rPr>
                <w:sz w:val="15"/>
                <w:szCs w:val="15"/>
                <w:color w:val="auto"/>
              </w:rPr>
            </w:pPr>
          </w:p>
        </w:tc>
        <w:tc>
          <w:tcPr>
            <w:tcW w:w="2660" w:type="dxa"/>
            <w:vAlign w:val="bottom"/>
            <w:gridSpan w:val="5"/>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71</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Comparison of the 2010 Plan to Prior Plans</w:t>
              </w:r>
            </w:hyperlink>
          </w:p>
        </w:tc>
        <w:tc>
          <w:tcPr>
            <w:tcW w:w="4940" w:type="dxa"/>
            <w:vAlign w:val="bottom"/>
            <w:gridSpan w:val="10"/>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73</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Equity Compensation Plan Information as of January 20, 2010 and Burn Rate Information</w:t>
              </w:r>
            </w:hyperlink>
          </w:p>
        </w:tc>
        <w:tc>
          <w:tcPr>
            <w:tcW w:w="1380" w:type="dxa"/>
            <w:vAlign w:val="bottom"/>
            <w:gridSpan w:val="3"/>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74</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Summary of the 2010 Plan Features</w:t>
              </w:r>
            </w:hyperlink>
          </w:p>
        </w:tc>
        <w:tc>
          <w:tcPr>
            <w:tcW w:w="5500" w:type="dxa"/>
            <w:vAlign w:val="bottom"/>
            <w:gridSpan w:val="14"/>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75</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20" w:type="dxa"/>
            <w:vAlign w:val="bottom"/>
            <w:gridSpan w:val="20"/>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Federal Income Tax Information</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87</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90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EQUITY COMPENSATION PLAN INFORMATION</w:t>
              </w:r>
            </w:hyperlink>
          </w:p>
        </w:tc>
        <w:tc>
          <w:tcPr>
            <w:tcW w:w="4880" w:type="dxa"/>
            <w:vAlign w:val="bottom"/>
            <w:gridSpan w:val="9"/>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90</w:t>
              </w:r>
            </w:hyperlink>
          </w:p>
        </w:tc>
      </w:tr>
      <w:tr>
        <w:trPr>
          <w:trHeight w:val="412"/>
        </w:trPr>
        <w:tc>
          <w:tcPr>
            <w:tcW w:w="1140" w:type="dxa"/>
            <w:vAlign w:val="bottom"/>
          </w:tcPr>
          <w:p>
            <w:pPr>
              <w:spacing w:after="0"/>
              <w:rPr>
                <w:sz w:val="24"/>
                <w:szCs w:val="24"/>
                <w:color w:val="auto"/>
              </w:rPr>
            </w:pPr>
          </w:p>
        </w:tc>
        <w:tc>
          <w:tcPr>
            <w:tcW w:w="780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PROPOSAL THREE—RATIFICATION OF SELECTION OF INDEPENDENT REGISTERED PUBLIC</w:t>
              </w:r>
            </w:hyperlink>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40" w:type="dxa"/>
            <w:vAlign w:val="bottom"/>
            <w:gridSpan w:val="21"/>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ACCOUNTING FIRM</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91</w:t>
              </w:r>
            </w:hyperlink>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8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97">
              <w:r>
                <w:rPr>
                  <w:rFonts w:ascii="Arial" w:cs="Arial" w:eastAsia="Arial" w:hAnsi="Arial"/>
                  <w:sz w:val="18"/>
                  <w:szCs w:val="18"/>
                  <w:color w:val="0000EE"/>
                  <w:w w:val="97"/>
                </w:rPr>
                <w:t>Selection of Independent Registered Public Accounting Firm</w:t>
              </w:r>
            </w:hyperlink>
          </w:p>
        </w:tc>
        <w:tc>
          <w:tcPr>
            <w:tcW w:w="3640" w:type="dxa"/>
            <w:vAlign w:val="bottom"/>
            <w:gridSpan w:val="6"/>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91</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Audit, Audit-Related, Tax and Other Fees</w:t>
              </w:r>
            </w:hyperlink>
          </w:p>
        </w:tc>
        <w:tc>
          <w:tcPr>
            <w:tcW w:w="5120" w:type="dxa"/>
            <w:vAlign w:val="bottom"/>
            <w:gridSpan w:val="12"/>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91</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20" w:type="dxa"/>
            <w:vAlign w:val="bottom"/>
            <w:gridSpan w:val="20"/>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Pre-Approval Policies and Procedures</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92</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Board Recommendation</w:t>
              </w:r>
            </w:hyperlink>
          </w:p>
        </w:tc>
        <w:tc>
          <w:tcPr>
            <w:tcW w:w="5360" w:type="dxa"/>
            <w:vAlign w:val="bottom"/>
            <w:gridSpan w:val="13"/>
          </w:tcPr>
          <w:p>
            <w:pPr>
              <w:spacing w:after="0"/>
              <w:rPr>
                <w:sz w:val="15"/>
                <w:szCs w:val="15"/>
                <w:color w:val="auto"/>
              </w:rPr>
            </w:pPr>
          </w:p>
        </w:tc>
        <w:tc>
          <w:tcPr>
            <w:tcW w:w="200" w:type="dxa"/>
            <w:vAlign w:val="bottom"/>
            <w:tcBorders>
              <w:top w:val="single" w:sz="8" w:color="0000EE"/>
            </w:tcBorders>
          </w:tcPr>
          <w:p>
            <w:pPr>
              <w:jc w:val="right"/>
              <w:spacing w:after="0" w:line="18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92</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top w:val="single" w:sz="8" w:color="0000EE"/>
            </w:tcBorders>
            <w:gridSpan w:val="4"/>
          </w:tcPr>
          <w:p>
            <w:pPr>
              <w:spacing w:after="0" w:line="182" w:lineRule="exact"/>
              <w:rPr>
                <w:rFonts w:ascii="Arial" w:cs="Arial" w:eastAsia="Arial" w:hAnsi="Arial"/>
                <w:sz w:val="18"/>
                <w:szCs w:val="18"/>
                <w:color w:val="0000EE"/>
                <w:w w:val="94"/>
              </w:rPr>
            </w:pPr>
            <w:hyperlink w:anchor="page99">
              <w:r>
                <w:rPr>
                  <w:rFonts w:ascii="Arial" w:cs="Arial" w:eastAsia="Arial" w:hAnsi="Arial"/>
                  <w:sz w:val="18"/>
                  <w:szCs w:val="18"/>
                  <w:color w:val="0000EE"/>
                  <w:w w:val="94"/>
                </w:rPr>
                <w:t>Audit Committee Report</w:t>
              </w:r>
            </w:hyperlink>
          </w:p>
        </w:tc>
        <w:tc>
          <w:tcPr>
            <w:tcW w:w="6460" w:type="dxa"/>
            <w:vAlign w:val="bottom"/>
            <w:gridSpan w:val="16"/>
          </w:tcPr>
          <w:p>
            <w:pPr>
              <w:spacing w:after="0"/>
              <w:rPr>
                <w:sz w:val="15"/>
                <w:szCs w:val="15"/>
                <w:color w:val="auto"/>
              </w:rPr>
            </w:pPr>
          </w:p>
        </w:tc>
        <w:tc>
          <w:tcPr>
            <w:tcW w:w="200" w:type="dxa"/>
            <w:vAlign w:val="bottom"/>
            <w:tcBorders>
              <w:top w:val="single" w:sz="8" w:color="0000EE"/>
            </w:tcBorders>
          </w:tcPr>
          <w:p>
            <w:pPr>
              <w:jc w:val="right"/>
              <w:spacing w:after="0" w:line="182"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93</w:t>
              </w:r>
            </w:hyperlink>
          </w:p>
        </w:tc>
      </w:tr>
      <w:tr>
        <w:trPr>
          <w:trHeight w:val="20"/>
        </w:trPr>
        <w:tc>
          <w:tcPr>
            <w:tcW w:w="1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780" w:type="dxa"/>
            <w:vAlign w:val="bottom"/>
            <w:gridSpan w:val="2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200" w:type="dxa"/>
            <w:vAlign w:val="bottom"/>
          </w:tcPr>
          <w:p>
            <w:pPr>
              <w:jc w:val="right"/>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94</w:t>
              </w:r>
            </w:hyperlink>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20" w:type="dxa"/>
            <w:vAlign w:val="bottom"/>
            <w:gridSpan w:val="20"/>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Shareholder Proposals and Director Nominations for the 2011 Annual Meeting</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94</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Householding of Annual Meeting Materials</w:t>
              </w:r>
            </w:hyperlink>
          </w:p>
        </w:tc>
        <w:tc>
          <w:tcPr>
            <w:tcW w:w="2760" w:type="dxa"/>
            <w:vAlign w:val="bottom"/>
            <w:tcBorders>
              <w:top w:val="single" w:sz="8" w:color="0000EE"/>
            </w:tcBorders>
            <w:gridSpan w:val="7"/>
          </w:tcPr>
          <w:p>
            <w:pPr>
              <w:spacing w:after="0"/>
              <w:rPr>
                <w:sz w:val="15"/>
                <w:szCs w:val="15"/>
                <w:color w:val="auto"/>
              </w:rPr>
            </w:pPr>
          </w:p>
        </w:tc>
        <w:tc>
          <w:tcPr>
            <w:tcW w:w="2260" w:type="dxa"/>
            <w:vAlign w:val="bottom"/>
            <w:gridSpan w:val="4"/>
          </w:tcPr>
          <w:p>
            <w:pPr>
              <w:spacing w:after="0"/>
              <w:rPr>
                <w:sz w:val="15"/>
                <w:szCs w:val="15"/>
                <w:color w:val="auto"/>
              </w:rPr>
            </w:pPr>
          </w:p>
        </w:tc>
        <w:tc>
          <w:tcPr>
            <w:tcW w:w="2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94</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0000EE"/>
            </w:tcBorders>
          </w:tcPr>
          <w:p>
            <w:pPr>
              <w:spacing w:after="0" w:line="182" w:lineRule="exact"/>
              <w:rPr>
                <w:rFonts w:ascii="Arial" w:cs="Arial" w:eastAsia="Arial" w:hAnsi="Arial"/>
                <w:sz w:val="18"/>
                <w:szCs w:val="18"/>
                <w:color w:val="0000EE"/>
                <w:w w:val="95"/>
              </w:rPr>
            </w:pPr>
            <w:hyperlink w:anchor="page101">
              <w:r>
                <w:rPr>
                  <w:rFonts w:ascii="Arial" w:cs="Arial" w:eastAsia="Arial" w:hAnsi="Arial"/>
                  <w:sz w:val="18"/>
                  <w:szCs w:val="18"/>
                  <w:color w:val="0000EE"/>
                  <w:w w:val="95"/>
                </w:rPr>
                <w:t>Annual Report</w:t>
              </w:r>
            </w:hyperlink>
          </w:p>
        </w:tc>
        <w:tc>
          <w:tcPr>
            <w:tcW w:w="7200" w:type="dxa"/>
            <w:vAlign w:val="bottom"/>
            <w:gridSpan w:val="19"/>
          </w:tcPr>
          <w:p>
            <w:pPr>
              <w:spacing w:after="0"/>
              <w:rPr>
                <w:sz w:val="15"/>
                <w:szCs w:val="15"/>
                <w:color w:val="auto"/>
              </w:rPr>
            </w:pPr>
          </w:p>
        </w:tc>
        <w:tc>
          <w:tcPr>
            <w:tcW w:w="200" w:type="dxa"/>
            <w:vAlign w:val="bottom"/>
            <w:tcBorders>
              <w:bottom w:val="single" w:sz="8" w:color="0000EE"/>
            </w:tcBorders>
          </w:tcPr>
          <w:p>
            <w:pPr>
              <w:jc w:val="right"/>
              <w:spacing w:after="0" w:line="18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95</w:t>
              </w:r>
            </w:hyperlink>
          </w:p>
        </w:tc>
      </w:tr>
      <w:tr>
        <w:trPr>
          <w:trHeight w:val="183"/>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20" w:type="dxa"/>
            <w:vAlign w:val="bottom"/>
            <w:gridSpan w:val="20"/>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Cost and Method of Solicitation</w:t>
              </w:r>
            </w:hyperlink>
          </w:p>
        </w:tc>
        <w:tc>
          <w:tcPr>
            <w:tcW w:w="200" w:type="dxa"/>
            <w:vAlign w:val="bottom"/>
          </w:tcPr>
          <w:p>
            <w:pPr>
              <w:jc w:val="right"/>
              <w:spacing w:after="0" w:line="18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95</w:t>
              </w:r>
            </w:hyperlink>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THE TORO COMPANY</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jc w:val="center"/>
        <w:ind w:right="-19"/>
        <w:spacing w:after="0"/>
        <w:rPr>
          <w:sz w:val="20"/>
          <w:szCs w:val="20"/>
          <w:color w:val="auto"/>
        </w:rPr>
      </w:pPr>
      <w:r>
        <w:rPr>
          <w:rFonts w:ascii="Arial" w:cs="Arial" w:eastAsia="Arial" w:hAnsi="Arial"/>
          <w:sz w:val="18"/>
          <w:szCs w:val="18"/>
          <w:b w:val="1"/>
          <w:bCs w:val="1"/>
          <w:color w:val="auto"/>
        </w:rPr>
        <w:t>Bloomington, Minnesota 55420-1196</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2010 ANNUAL MEETING OF SHAREHOLDERS</w:t>
      </w:r>
    </w:p>
    <w:p>
      <w:pPr>
        <w:jc w:val="center"/>
        <w:ind w:right="-19"/>
        <w:spacing w:after="0" w:line="230" w:lineRule="auto"/>
        <w:rPr>
          <w:sz w:val="20"/>
          <w:szCs w:val="20"/>
          <w:color w:val="auto"/>
        </w:rPr>
      </w:pPr>
      <w:r>
        <w:rPr>
          <w:rFonts w:ascii="Arial" w:cs="Arial" w:eastAsia="Arial" w:hAnsi="Arial"/>
          <w:sz w:val="22"/>
          <w:szCs w:val="22"/>
          <w:b w:val="1"/>
          <w:bCs w:val="1"/>
          <w:color w:val="auto"/>
        </w:rPr>
        <w:t>TUESDAY, MARCH 16, 2010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1:30 p.m. Central Daylight Time</w:t>
      </w:r>
    </w:p>
    <w:p>
      <w:pPr>
        <w:spacing w:after="0" w:line="216" w:lineRule="exact"/>
        <w:rPr>
          <w:sz w:val="20"/>
          <w:szCs w:val="20"/>
          <w:color w:val="auto"/>
        </w:rPr>
      </w:pPr>
    </w:p>
    <w:p>
      <w:pPr>
        <w:ind w:right="40" w:firstLine="387"/>
        <w:spacing w:after="0" w:line="23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2010 Annual Meeting of Shareholders to be held at 1:30 p.m., Central Daylight Time, on Tuesday, March 16, 2010. We intend to mail Notices Regarding the Availability of Proxy Materials for the annual meeting and make proxy materials available to shareholders (or for certain shareholders and for those who request it, a paper copy of this proxy statement and the form of proxy) on or about February 2, 2010. Please note that references in this proxy statement to "Toro," the "Company," "we," "us," "our" and similar terms refer to The Toro Company.</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Tuesday, March 16, 2010.</w:t>
      </w:r>
    </w:p>
    <w:p>
      <w:pPr>
        <w:spacing w:after="0" w:line="234" w:lineRule="exact"/>
        <w:rPr>
          <w:sz w:val="20"/>
          <w:szCs w:val="20"/>
          <w:color w:val="auto"/>
        </w:rPr>
      </w:pPr>
    </w:p>
    <w:p>
      <w:pPr>
        <w:ind w:right="420" w:firstLine="387"/>
        <w:spacing w:after="0" w:line="239" w:lineRule="auto"/>
        <w:rPr>
          <w:sz w:val="20"/>
          <w:szCs w:val="20"/>
          <w:color w:val="auto"/>
        </w:rPr>
      </w:pPr>
      <w:r>
        <w:rPr>
          <w:rFonts w:ascii="Arial" w:cs="Arial" w:eastAsia="Arial" w:hAnsi="Arial"/>
          <w:sz w:val="18"/>
          <w:szCs w:val="18"/>
          <w:color w:val="auto"/>
        </w:rPr>
        <w:t>This proxy statement and our 2009 Annual Report, which includes our Annual Report on Form 10-K for the fiscal year ended October 31, 2009, are available at www.thetorocompany.com/proxy.</w:t>
      </w:r>
    </w:p>
    <w:p>
      <w:pPr>
        <w:spacing w:after="0" w:line="209" w:lineRule="exact"/>
        <w:rPr>
          <w:sz w:val="20"/>
          <w:szCs w:val="20"/>
          <w:color w:val="auto"/>
        </w:rPr>
      </w:pPr>
    </w:p>
    <w:p>
      <w:pPr>
        <w:ind w:firstLine="391"/>
        <w:spacing w:after="0" w:line="235" w:lineRule="auto"/>
        <w:rPr>
          <w:sz w:val="20"/>
          <w:szCs w:val="20"/>
          <w:color w:val="auto"/>
        </w:rPr>
      </w:pPr>
      <w:r>
        <w:rPr>
          <w:rFonts w:ascii="Arial" w:cs="Arial" w:eastAsia="Arial" w:hAnsi="Arial"/>
          <w:sz w:val="18"/>
          <w:szCs w:val="18"/>
          <w:color w:val="auto"/>
        </w:rPr>
        <w:t>Pursuant to rules adopted by the Securities and Exchange Commission, or SEC, we have elected to provide access to our proxy materials over the Internet. Accordingly, we are sending a Notice Regarding the Availability of Proxy Materials to certain of our shareholders of record and beneficial owners (excluding those beneficial owners who hold shares of our common stock in The Toro Company Investment, Savings and Employee Stock Ownership Plan, or IS&amp;ESOP, The Toro Company Profit Sharing Plan for Plymouth Union Employees, The Toro Company Deferred Compensation Plan for Officers, The Toro Company Deferred Compensation Plan for Non-Employee Directors and those record and beneficial owners who previously have requested that they receive electronic or paper copies of our proxy materials). All shareholders have the ability to access our proxy materials on the website referred to in the Notice Regarding the Availability of Proxy Materials or request to receive a printed set of our proxy materials. Instructions on how to access our proxy materials over the Internet or to request a printed copy of our proxy materials may be found in the Notice Regarding the Availability of Proxy Materials. In addition, shareholders may request to receive proxy materials in printed form by mail or electronically by email on an ongoing basis. We believe this process should expedite your receipt of our proxy materials and reduce the environmental impact of our annual meeting.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Meeting</w:t>
      </w:r>
    </w:p>
    <w:p>
      <w:pPr>
        <w:spacing w:after="0" w:line="234" w:lineRule="exact"/>
        <w:rPr>
          <w:sz w:val="20"/>
          <w:szCs w:val="20"/>
          <w:color w:val="auto"/>
        </w:rPr>
      </w:pPr>
    </w:p>
    <w:p>
      <w:pPr>
        <w:ind w:right="340" w:firstLine="387"/>
        <w:spacing w:after="0" w:line="239" w:lineRule="auto"/>
        <w:rPr>
          <w:sz w:val="20"/>
          <w:szCs w:val="20"/>
          <w:color w:val="auto"/>
        </w:rPr>
      </w:pPr>
      <w:r>
        <w:rPr>
          <w:rFonts w:ascii="Arial" w:cs="Arial" w:eastAsia="Arial" w:hAnsi="Arial"/>
          <w:sz w:val="18"/>
          <w:szCs w:val="18"/>
          <w:color w:val="auto"/>
        </w:rPr>
        <w:t>The annual meeting will be held on Tuesday, March 16, 2010, at 1:30 p.m., Central Daylight Time, at our corporate offices located at 8111 Lyndale Avenue South, Bloomington, Minnesota, 55420-1196.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Meeting</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annual meeting are to vote on the following:</w:t>
      </w:r>
    </w:p>
    <w:p>
      <w:pPr>
        <w:spacing w:after="0" w:line="212" w:lineRule="exact"/>
        <w:rPr>
          <w:sz w:val="20"/>
          <w:szCs w:val="20"/>
          <w:color w:val="auto"/>
        </w:rPr>
      </w:pPr>
    </w:p>
    <w:p>
      <w:pPr>
        <w:ind w:left="1080" w:right="420" w:hanging="532"/>
        <w:spacing w:after="0" w:line="23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this proxy statement, each to serve for a term of three years ending at the 2013 Annual Meeting of Shareholders;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Toro Company 2010 Equity and Incentive Plan;</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2010; and</w:t>
      </w:r>
    </w:p>
    <w:p>
      <w:pPr>
        <w:spacing w:after="0" w:line="195"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2010 Annual Meeting or any adjournment or postponement of the 2010 Annual Meeting.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34" w:lineRule="exact"/>
        <w:rPr>
          <w:sz w:val="20"/>
          <w:szCs w:val="20"/>
          <w:color w:val="auto"/>
        </w:rPr>
      </w:pPr>
    </w:p>
    <w:p>
      <w:pPr>
        <w:ind w:right="120" w:firstLine="391"/>
        <w:spacing w:after="0" w:line="237" w:lineRule="auto"/>
        <w:rPr>
          <w:sz w:val="20"/>
          <w:szCs w:val="20"/>
          <w:color w:val="auto"/>
        </w:rPr>
      </w:pPr>
      <w:r>
        <w:rPr>
          <w:rFonts w:ascii="Arial" w:cs="Arial" w:eastAsia="Arial" w:hAnsi="Arial"/>
          <w:sz w:val="18"/>
          <w:szCs w:val="18"/>
          <w:color w:val="auto"/>
        </w:rPr>
        <w:t>Shareholders of record at the close of business on January 20, 2010, the record date, will be entitled to notice of and to vote at the annual meeting or any adjournment or postponement of the annual meeting. As of January 20, 2010, there were 34,051,637 shares of our common stock outstanding. Each share of our common stock is entitled to one vote on each matter to be voted on at the annual meeting. Shares of our common stock that are held by us in our treasury are not counted as shares outstanding and will not be voted.</w:t>
      </w:r>
    </w:p>
    <w:p>
      <w:pPr>
        <w:spacing w:after="0" w:line="187" w:lineRule="exact"/>
        <w:rPr>
          <w:sz w:val="20"/>
          <w:szCs w:val="20"/>
          <w:color w:val="auto"/>
        </w:rPr>
      </w:pPr>
    </w:p>
    <w:p>
      <w:pPr>
        <w:ind w:right="360" w:firstLine="391"/>
        <w:spacing w:after="0" w:line="264" w:lineRule="auto"/>
        <w:rPr>
          <w:sz w:val="20"/>
          <w:szCs w:val="20"/>
          <w:color w:val="auto"/>
        </w:rPr>
      </w:pPr>
      <w:r>
        <w:rPr>
          <w:rFonts w:ascii="Arial" w:cs="Arial" w:eastAsia="Arial" w:hAnsi="Arial"/>
          <w:sz w:val="18"/>
          <w:szCs w:val="18"/>
          <w:b w:val="1"/>
          <w:bCs w:val="1"/>
          <w:color w:val="auto"/>
        </w:rPr>
        <w:t xml:space="preserve">Dividend Reinvestment Plan Shares. </w:t>
      </w:r>
      <w:r>
        <w:rPr>
          <w:rFonts w:ascii="Arial" w:cs="Arial" w:eastAsia="Arial" w:hAnsi="Arial"/>
          <w:sz w:val="18"/>
          <w:szCs w:val="18"/>
          <w:color w:val="auto"/>
        </w:rPr>
        <w:t>If you are a participant in our Dividend Reinvestment Plan, the number of shares shown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includes shares you hold in that plan.</w:t>
      </w:r>
    </w:p>
    <w:p>
      <w:pPr>
        <w:spacing w:after="0" w:line="166" w:lineRule="exact"/>
        <w:rPr>
          <w:sz w:val="20"/>
          <w:szCs w:val="20"/>
          <w:color w:val="auto"/>
        </w:rPr>
      </w:pPr>
    </w:p>
    <w:p>
      <w:pPr>
        <w:ind w:right="140" w:firstLine="391"/>
        <w:spacing w:after="0" w:line="242" w:lineRule="auto"/>
        <w:rPr>
          <w:sz w:val="20"/>
          <w:szCs w:val="20"/>
          <w:color w:val="auto"/>
        </w:rPr>
      </w:pPr>
      <w:r>
        <w:rPr>
          <w:rFonts w:ascii="Arial" w:cs="Arial" w:eastAsia="Arial" w:hAnsi="Arial"/>
          <w:sz w:val="18"/>
          <w:szCs w:val="18"/>
          <w:b w:val="1"/>
          <w:bCs w:val="1"/>
          <w:color w:val="auto"/>
        </w:rPr>
        <w:t xml:space="preserve">Employee Benefit Plan Shares. </w:t>
      </w:r>
      <w:r>
        <w:rPr>
          <w:rFonts w:ascii="Arial" w:cs="Arial" w:eastAsia="Arial" w:hAnsi="Arial"/>
          <w:sz w:val="18"/>
          <w:szCs w:val="18"/>
          <w:color w:val="auto"/>
        </w:rPr>
        <w:t>If you are a participant in a Toro employee benefit plan that allows participant-directed voting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held in that plan, the number of shares shown on your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34" w:lineRule="exact"/>
        <w:rPr>
          <w:sz w:val="20"/>
          <w:szCs w:val="20"/>
          <w:color w:val="auto"/>
        </w:rPr>
      </w:pPr>
    </w:p>
    <w:p>
      <w:pPr>
        <w:ind w:right="20" w:firstLine="387"/>
        <w:spacing w:after="0" w:line="239" w:lineRule="auto"/>
        <w:rPr>
          <w:sz w:val="20"/>
          <w:szCs w:val="20"/>
          <w:color w:val="auto"/>
        </w:rPr>
      </w:pPr>
      <w:r>
        <w:rPr>
          <w:rFonts w:ascii="Arial" w:cs="Arial" w:eastAsia="Arial" w:hAnsi="Arial"/>
          <w:sz w:val="18"/>
          <w:szCs w:val="18"/>
          <w:color w:val="auto"/>
        </w:rPr>
        <w:t>Your vote is important. If you are a shareholder whose shares are registered in your name, you may vote your shares in person at the meeting or by one of the three following methods:</w:t>
      </w:r>
    </w:p>
    <w:p>
      <w:pPr>
        <w:spacing w:after="0" w:line="201" w:lineRule="exact"/>
        <w:rPr>
          <w:sz w:val="20"/>
          <w:szCs w:val="20"/>
          <w:color w:val="auto"/>
        </w:rPr>
      </w:pPr>
    </w:p>
    <w:p>
      <w:pPr>
        <w:ind w:left="1080" w:right="200" w:hanging="532"/>
        <w:spacing w:after="0" w:line="26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the web address www.proxyvote.com and following the instructions for Internet voting shown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voting instruction form or Notice Regarding the Availability of Proxy Materials.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800-690-6903 and following the instructions for telephone voting shown on your proxy card.</w:t>
      </w:r>
    </w:p>
    <w:p>
      <w:pPr>
        <w:spacing w:after="0" w:line="211" w:lineRule="exact"/>
        <w:rPr>
          <w:rFonts w:ascii="Arial" w:cs="Arial" w:eastAsia="Arial" w:hAnsi="Arial"/>
          <w:sz w:val="18"/>
          <w:szCs w:val="18"/>
          <w:color w:val="auto"/>
        </w:rPr>
      </w:pPr>
    </w:p>
    <w:p>
      <w:pPr>
        <w:ind w:left="1080" w:right="280" w:hanging="532"/>
        <w:spacing w:after="0" w:line="26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by Proxy Card</w:t>
      </w:r>
      <w:r>
        <w:rPr>
          <w:rFonts w:ascii="Arial" w:cs="Arial" w:eastAsia="Arial" w:hAnsi="Arial"/>
          <w:sz w:val="18"/>
          <w:szCs w:val="18"/>
          <w:color w:val="auto"/>
        </w:rPr>
        <w:t>, by completing, signing, dating and mailing your proxy card in the envelope provided if you received a paper</w:t>
      </w:r>
      <w:r>
        <w:rPr>
          <w:rFonts w:ascii="Arial" w:cs="Arial" w:eastAsia="Arial" w:hAnsi="Arial"/>
          <w:sz w:val="18"/>
          <w:szCs w:val="18"/>
          <w:b w:val="1"/>
          <w:bCs w:val="1"/>
          <w:color w:val="auto"/>
        </w:rPr>
        <w:t xml:space="preserve"> </w:t>
      </w:r>
      <w:r>
        <w:rPr>
          <w:rFonts w:ascii="Arial" w:cs="Arial" w:eastAsia="Arial" w:hAnsi="Arial"/>
          <w:sz w:val="18"/>
          <w:szCs w:val="18"/>
          <w:color w:val="auto"/>
        </w:rPr>
        <w:t>copy of these proxy materials. If you vote by Internet or telephone, please do not mail your proxy card.</w:t>
      </w:r>
    </w:p>
    <w:p>
      <w:pPr>
        <w:spacing w:after="0" w:line="188" w:lineRule="exact"/>
        <w:rPr>
          <w:sz w:val="20"/>
          <w:szCs w:val="20"/>
          <w:color w:val="auto"/>
        </w:rPr>
      </w:pPr>
    </w:p>
    <w:p>
      <w:pPr>
        <w:jc w:val="both"/>
        <w:ind w:right="260" w:firstLine="391"/>
        <w:spacing w:after="0" w:line="238" w:lineRule="auto"/>
        <w:rPr>
          <w:sz w:val="20"/>
          <w:szCs w:val="20"/>
          <w:color w:val="auto"/>
        </w:rPr>
      </w:pPr>
      <w:r>
        <w:rPr>
          <w:rFonts w:ascii="Arial" w:cs="Arial" w:eastAsia="Arial" w:hAnsi="Arial"/>
          <w:sz w:val="18"/>
          <w:szCs w:val="18"/>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by telephone.</w:t>
      </w:r>
    </w:p>
    <w:p>
      <w:pPr>
        <w:spacing w:after="0" w:line="208" w:lineRule="exact"/>
        <w:rPr>
          <w:sz w:val="20"/>
          <w:szCs w:val="20"/>
          <w:color w:val="auto"/>
        </w:rPr>
      </w:pPr>
    </w:p>
    <w:p>
      <w:pPr>
        <w:ind w:firstLine="391"/>
        <w:spacing w:after="0" w:line="239" w:lineRule="auto"/>
        <w:rPr>
          <w:sz w:val="20"/>
          <w:szCs w:val="20"/>
          <w:color w:val="auto"/>
        </w:rPr>
      </w:pPr>
      <w:r>
        <w:rPr>
          <w:rFonts w:ascii="Arial" w:cs="Arial" w:eastAsia="Arial" w:hAnsi="Arial"/>
          <w:sz w:val="18"/>
          <w:szCs w:val="18"/>
          <w:color w:val="auto"/>
        </w:rPr>
        <w:t>If you return your signed proxy card or use Internet or telephone voting before the annual meeting, the named proxies will vote your shares as you direct. You have three choices on each matter to be voted on. For the election of directors, you may:</w:t>
      </w:r>
    </w:p>
    <w:p>
      <w:pPr>
        <w:spacing w:after="0" w:line="187"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nominees; or</w:t>
      </w:r>
    </w:p>
    <w:p>
      <w:pPr>
        <w:spacing w:after="0" w:line="211" w:lineRule="exact"/>
        <w:rPr>
          <w:rFonts w:ascii="Arial" w:cs="Arial" w:eastAsia="Arial" w:hAnsi="Arial"/>
          <w:sz w:val="18"/>
          <w:szCs w:val="18"/>
          <w:color w:val="auto"/>
        </w:rPr>
      </w:pPr>
    </w:p>
    <w:p>
      <w:pPr>
        <w:ind w:right="5180" w:firstLine="548"/>
        <w:spacing w:after="0" w:line="48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of the other proposals, you may:</w:t>
      </w: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234" w:lineRule="exact"/>
        <w:rPr>
          <w:sz w:val="20"/>
          <w:szCs w:val="20"/>
          <w:color w:val="auto"/>
        </w:rPr>
      </w:pPr>
    </w:p>
    <w:p>
      <w:pPr>
        <w:ind w:right="160" w:firstLine="391"/>
        <w:spacing w:after="0" w:line="237" w:lineRule="auto"/>
        <w:rPr>
          <w:sz w:val="20"/>
          <w:szCs w:val="20"/>
          <w:color w:val="auto"/>
        </w:rPr>
      </w:pPr>
      <w:r>
        <w:rPr>
          <w:rFonts w:ascii="Arial" w:cs="Arial" w:eastAsia="Arial" w:hAnsi="Arial"/>
          <w:sz w:val="18"/>
          <w:szCs w:val="18"/>
          <w:color w:val="auto"/>
        </w:rPr>
        <w:t xml:space="preserve">If you send in your proxy card or use Internet or telephone voting, but do not specify how you want to vote your shares, the proxies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 for election to the Board of Directors in Proposal One—Election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Two—Approval of The Toro Company 2010 Equity and Incentive Plan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Three—Ratification of Selection of Independent Registered Public Accounting Firm.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You Vote</w:t>
      </w:r>
    </w:p>
    <w:p>
      <w:pPr>
        <w:spacing w:after="0" w:line="2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19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election to the Board of Directors in Proposal One—Election of Directors;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Two—Approval of The Toro Company 2010 Equity and Incentive Plan;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Three—Ratification of Selection of Independent Registered Public Accounting Firm.</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May Revoke or Change Your Vote</w:t>
      </w:r>
    </w:p>
    <w:p>
      <w:pPr>
        <w:spacing w:after="0" w:line="234" w:lineRule="exact"/>
        <w:rPr>
          <w:sz w:val="20"/>
          <w:szCs w:val="20"/>
          <w:color w:val="auto"/>
        </w:rPr>
      </w:pPr>
    </w:p>
    <w:p>
      <w:pPr>
        <w:ind w:right="300" w:firstLine="391"/>
        <w:spacing w:after="0" w:line="239" w:lineRule="auto"/>
        <w:rPr>
          <w:sz w:val="20"/>
          <w:szCs w:val="20"/>
          <w:color w:val="auto"/>
        </w:rPr>
      </w:pPr>
      <w:r>
        <w:rPr>
          <w:rFonts w:ascii="Arial" w:cs="Arial" w:eastAsia="Arial" w:hAnsi="Arial"/>
          <w:sz w:val="18"/>
          <w:szCs w:val="18"/>
          <w:color w:val="auto"/>
        </w:rPr>
        <w:t>If you are a shareholder whose shares are registered in your name, you may revoke your proxy at any time before it is voted by one of the following methods:</w:t>
      </w:r>
    </w:p>
    <w:p>
      <w:pPr>
        <w:spacing w:after="0" w:line="209" w:lineRule="exact"/>
        <w:rPr>
          <w:sz w:val="20"/>
          <w:szCs w:val="20"/>
          <w:color w:val="auto"/>
        </w:rPr>
      </w:pPr>
    </w:p>
    <w:p>
      <w:pPr>
        <w:ind w:left="1080" w:right="50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212" w:lineRule="exact"/>
        <w:rPr>
          <w:sz w:val="20"/>
          <w:szCs w:val="20"/>
          <w:color w:val="auto"/>
        </w:rPr>
      </w:pPr>
    </w:p>
    <w:p>
      <w:pPr>
        <w:ind w:right="420" w:firstLine="391"/>
        <w:spacing w:after="0" w:line="239" w:lineRule="auto"/>
        <w:rPr>
          <w:sz w:val="20"/>
          <w:szCs w:val="20"/>
          <w:color w:val="auto"/>
        </w:rPr>
      </w:pPr>
      <w:r>
        <w:rPr>
          <w:rFonts w:ascii="Arial" w:cs="Arial" w:eastAsia="Arial" w:hAnsi="Arial"/>
          <w:sz w:val="18"/>
          <w:szCs w:val="18"/>
          <w:color w:val="auto"/>
        </w:rPr>
        <w:t>If you hold your shares through a broker, bank or other nominee, you may revoke your proxy by following instructions the broker, bank or other nominee provides.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34" w:lineRule="exact"/>
        <w:rPr>
          <w:sz w:val="20"/>
          <w:szCs w:val="20"/>
          <w:color w:val="auto"/>
        </w:rPr>
      </w:pPr>
    </w:p>
    <w:p>
      <w:pPr>
        <w:ind w:firstLine="387"/>
        <w:spacing w:after="0" w:line="236" w:lineRule="auto"/>
        <w:rPr>
          <w:sz w:val="20"/>
          <w:szCs w:val="20"/>
          <w:color w:val="auto"/>
        </w:rPr>
      </w:pPr>
      <w:r>
        <w:rPr>
          <w:rFonts w:ascii="Arial" w:cs="Arial" w:eastAsia="Arial" w:hAnsi="Arial"/>
          <w:sz w:val="18"/>
          <w:szCs w:val="18"/>
          <w:color w:val="auto"/>
        </w:rPr>
        <w:t>The presence at the annual meeting, in person or represented by proxy, of a majority of the outstanding shares of our common stock as of the record date will constitute a quorum for the transaction of business at the annual meeting. Shares represented by proxies marked "Abstain" or "Withheld" and "broker non-votes" are counted in determining whether a quorum is present for the transaction of business at the annual meeting. A "broker non-vote" is a proxy submitted by a broker that does not indicate a vote for some or all of the proposals because the broker does not have discretionary voting authority on certain types of proposals and has not received instructions from its client as to how to vote on a particular proposal.</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4" w:lineRule="exact"/>
        <w:rPr>
          <w:sz w:val="20"/>
          <w:szCs w:val="20"/>
          <w:color w:val="auto"/>
        </w:rPr>
      </w:pPr>
    </w:p>
    <w:p>
      <w:pPr>
        <w:ind w:right="120" w:firstLine="391"/>
        <w:spacing w:after="0" w:line="236" w:lineRule="auto"/>
        <w:rPr>
          <w:sz w:val="20"/>
          <w:szCs w:val="20"/>
          <w:color w:val="auto"/>
        </w:rPr>
      </w:pPr>
      <w:r>
        <w:rPr>
          <w:rFonts w:ascii="Arial" w:cs="Arial" w:eastAsia="Arial" w:hAnsi="Arial"/>
          <w:sz w:val="18"/>
          <w:szCs w:val="18"/>
          <w:color w:val="auto"/>
        </w:rPr>
        <w:t>Proposal One—Election of Directors will be decided by the affirmative vote of a plurality of shares of our common stock as of the record date present in person or represented by proxy at the annual meeting. "Plurality" means the individuals who receive the greatest number of votes cast "For" are elected as directors. However, under our Amended and Restated Bylaws, if a majority of the votes of the shares present in person or 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the Company and its shareholders and recommend action to be taken by the Board with respect to such tendered resignation.</w:t>
      </w:r>
    </w:p>
    <w:p>
      <w:pPr>
        <w:spacing w:after="0" w:line="209" w:lineRule="exact"/>
        <w:rPr>
          <w:sz w:val="20"/>
          <w:szCs w:val="20"/>
          <w:color w:val="auto"/>
        </w:rPr>
      </w:pPr>
    </w:p>
    <w:p>
      <w:pPr>
        <w:ind w:right="40" w:firstLine="391"/>
        <w:spacing w:after="0" w:line="236" w:lineRule="auto"/>
        <w:rPr>
          <w:sz w:val="20"/>
          <w:szCs w:val="20"/>
          <w:color w:val="auto"/>
        </w:rPr>
      </w:pPr>
      <w:r>
        <w:rPr>
          <w:rFonts w:ascii="Arial" w:cs="Arial" w:eastAsia="Arial" w:hAnsi="Arial"/>
          <w:sz w:val="18"/>
          <w:szCs w:val="18"/>
          <w:color w:val="auto"/>
        </w:rPr>
        <w:t>Proposal Two—Approval of The Toro Company 2010 Equity and Incentive Plan and Proposal Three—Ratification of Selection of Independent Registered Public Accounting Firm will be decided by the affirmative vote of a majority of the shares, present in person or represented by proxy, and entitled to vote at the annual meeting; provided, however, that for Proposal Two—Approval of The Toro Company 2010 Equity and Incentive Plan, under New York Stock Exchange, or NYSE, rules, the proposal also must be approved by a majority of votes cast on the proposal and the total votes cast on the proposal must represent over 50% of the outstanding shares of our common stock.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firstLine="391"/>
        <w:spacing w:after="0" w:line="267" w:lineRule="auto"/>
        <w:rPr>
          <w:sz w:val="20"/>
          <w:szCs w:val="20"/>
          <w:color w:val="auto"/>
        </w:rPr>
      </w:pPr>
      <w:r>
        <w:rPr>
          <w:rFonts w:ascii="Arial" w:cs="Arial" w:eastAsia="Arial" w:hAnsi="Arial"/>
          <w:sz w:val="16"/>
          <w:szCs w:val="16"/>
          <w:color w:val="auto"/>
        </w:rPr>
        <w:t>Under NYSE rules, if your shares are held in "street name" and you do not indicate how you wish to vote, your broker only is permitted to exercise its discretion to vote your shares on certain "routine" matters. Proposal One—Election of Directors and Proposal Two—Approval of The Toro Company 2010 Equity and Incentive Plan are not "routine" matters, whereas Proposal Three—Ratification of Selection of Independent Registered Public Accounting Firm is a "routine" matter. Accordingly, if you do not direct your broker how to vote for a director in Proposal One or how to vote for Proposal Two, your broker may not exercise discretion and may not vote your shares. This is called a "broker non-vote." For vote requirement purposes for Proposal One and Proposal Two, broker non-votes are considered to be shares represented by proxy at the annual meeting but are not considered to be shares "entitled to vote" or "votes cast" at the annual meeting. As such, a broker non-vote will not be counted as a vote "For" or "Withheld" with respect to a director in Proposal One and, therefore, will have no effect on the outcome of the vote on Proposal One. Similarly, a broker non-vote will not be counted as a vote "For" or "Against" Proposal Two and, therefore, will have no effect on the outcome of the vote on Proposal Two if the total votes cast on Proposal Two represent over 50% of the outstanding shares of our common stock. A broker non-vote will have the effect of a vote "Against" Proposal Two if the total votes cast on Proposal Two do not represent over 50% of the outstanding shares of our common stock. Proxies marked "Withheld" or "Abstain" will be counted in determining the total number of shares "entitled to vote" and "votes cast" on each of the proposals and will have the effect of a vote "Against" a director or a proposal.</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Voting and Adjournments</w:t>
      </w:r>
    </w:p>
    <w:p>
      <w:pPr>
        <w:spacing w:after="0" w:line="234" w:lineRule="exact"/>
        <w:rPr>
          <w:sz w:val="20"/>
          <w:szCs w:val="20"/>
          <w:color w:val="auto"/>
        </w:rPr>
      </w:pPr>
    </w:p>
    <w:p>
      <w:pPr>
        <w:ind w:right="20" w:firstLine="391"/>
        <w:spacing w:after="0" w:line="237" w:lineRule="auto"/>
        <w:rPr>
          <w:sz w:val="20"/>
          <w:szCs w:val="20"/>
          <w:color w:val="auto"/>
        </w:rPr>
      </w:pPr>
      <w:r>
        <w:rPr>
          <w:rFonts w:ascii="Arial" w:cs="Arial" w:eastAsia="Arial" w:hAnsi="Arial"/>
          <w:sz w:val="18"/>
          <w:szCs w:val="18"/>
          <w:color w:val="auto"/>
        </w:rPr>
        <w:t>We currently are not aware of any business to be acted upon at the 2010 Annual Meeting other than that described in this proxy statement. If, however, other matters properly are brought before the annual meeting, or any adjournment or postponement of the annual meeting, your proxy includes discretionary authority on the part of the individuals appointed to vote your common stock or act on those matters according to their best judgment, including to adjourn the annual meeting.</w:t>
      </w:r>
    </w:p>
    <w:p>
      <w:pPr>
        <w:spacing w:after="0" w:line="209" w:lineRule="exact"/>
        <w:rPr>
          <w:sz w:val="20"/>
          <w:szCs w:val="20"/>
          <w:color w:val="auto"/>
        </w:rPr>
      </w:pPr>
    </w:p>
    <w:p>
      <w:pPr>
        <w:ind w:right="60" w:firstLine="381"/>
        <w:spacing w:after="0" w:line="237" w:lineRule="auto"/>
        <w:rPr>
          <w:sz w:val="20"/>
          <w:szCs w:val="20"/>
          <w:color w:val="auto"/>
        </w:rPr>
      </w:pPr>
      <w:r>
        <w:rPr>
          <w:rFonts w:ascii="Arial" w:cs="Arial" w:eastAsia="Arial" w:hAnsi="Arial"/>
          <w:sz w:val="18"/>
          <w:szCs w:val="18"/>
          <w:color w:val="auto"/>
        </w:rPr>
        <w:t>Adjournment of the 2010 Annual Meeting may be made for the purpose of, among other things, soliciting additional proxies. Any adjournment may be made from time to time by approval of the holders of common stock representing a majority of the votes present in person or by proxy at the annual meeting, whether or not a quorum exists, without further notice other than by an announcement made at the annual meeting. We currently do not intend to seek an adjournment of the annual meeting.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at the 2010 Annual Meeting</w:t>
      </w:r>
    </w:p>
    <w:p>
      <w:pPr>
        <w:spacing w:after="0" w:line="234" w:lineRule="exact"/>
        <w:rPr>
          <w:sz w:val="20"/>
          <w:szCs w:val="20"/>
          <w:color w:val="auto"/>
        </w:rPr>
      </w:pPr>
    </w:p>
    <w:p>
      <w:pPr>
        <w:ind w:firstLine="387"/>
        <w:spacing w:after="0" w:line="236" w:lineRule="auto"/>
        <w:rPr>
          <w:sz w:val="20"/>
          <w:szCs w:val="20"/>
          <w:color w:val="auto"/>
        </w:rPr>
      </w:pPr>
      <w:r>
        <w:rPr>
          <w:rFonts w:ascii="Arial" w:cs="Arial" w:eastAsia="Arial" w:hAnsi="Arial"/>
          <w:sz w:val="18"/>
          <w:szCs w:val="18"/>
          <w:color w:val="auto"/>
        </w:rPr>
        <w:t>The presiding officer at the annual meeting will determine how business at the annual meeting will be conducted. Only nominations and other proposals brought before the annual meeting in accordance with the advance notice and information requirements of our Amended and Restated Bylaws will be considered. In order for a shareholder proposal to be included in our proxy statement for the 2010 Annual Meeting, our Vice President, Secretary and General Counsel must have received such proposal not later than October 6, 2009. Under our Amended and Restated Bylaws, complete and timely written notice of a proposed nominee for election to our Board at the 2010 Annual Meeting or a proposal for any other business to be brought before the 2010 Annual Meeting of Shareholders must</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have been given to our Vice President, Secretary and General Counsel not later than December 18, 2009, nor earlier than November 18, 2009. Additionally, such notice for any nomination or proposal must have contained the specific information required by our Amended and Restated Bylaws, including, among other things, information about any proposed nominee and his or her relationships with the shareholder submitting the nomination; information about any agreements, arrangements or understandings the shareholder may have with any proposed nominee or other parties relating to the nomination or other proposal; and information about the interests that the shareholder has related to the Company and our shares, including as a result of, among other things, derivative securities, voting arrangements, short positions or other interests. Such information was required to be updated as of January 20, 2010, the record date for the 2010 Annual Meeting, and is required to be updated as of March 2, 2010, the date that is ten business days prior to the date of the 2010 Annual Meeting. This summary information regarding our Amended and Restated Bylaws is qualified in its entirety by reference to the full text of the Amended and Restated Bylaws, which can be found on our website at www.thetorocompany.com (select the "Investor Information" link and then the "Corporate Governance" link).</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OWNERSHIP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34" w:lineRule="exact"/>
        <w:rPr>
          <w:sz w:val="20"/>
          <w:szCs w:val="20"/>
          <w:color w:val="auto"/>
        </w:rPr>
      </w:pPr>
    </w:p>
    <w:p>
      <w:pPr>
        <w:ind w:right="160" w:firstLine="387"/>
        <w:spacing w:after="0" w:line="239" w:lineRule="auto"/>
        <w:rPr>
          <w:sz w:val="20"/>
          <w:szCs w:val="20"/>
          <w:color w:val="auto"/>
        </w:rPr>
      </w:pPr>
      <w:r>
        <w:rPr>
          <w:rFonts w:ascii="Arial" w:cs="Arial" w:eastAsia="Arial" w:hAnsi="Arial"/>
          <w:sz w:val="18"/>
          <w:szCs w:val="18"/>
          <w:color w:val="auto"/>
        </w:rPr>
        <w:t>The following table sets forth information as to entities that have reported to the SEC or have otherwise advised us that they are a beneficial owner, as defined by the SEC's rules and regulations, of more than five percent of our outstanding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840" w:type="dxa"/>
            <w:vAlign w:val="bottom"/>
          </w:tcPr>
          <w:p>
            <w:pPr>
              <w:jc w:val="center"/>
              <w:ind w:left="260"/>
              <w:spacing w:after="0"/>
              <w:rPr>
                <w:sz w:val="20"/>
                <w:szCs w:val="20"/>
                <w:color w:val="auto"/>
              </w:rPr>
            </w:pPr>
            <w:r>
              <w:rPr>
                <w:rFonts w:ascii="Arial" w:cs="Arial" w:eastAsia="Arial" w:hAnsi="Arial"/>
                <w:sz w:val="18"/>
                <w:szCs w:val="18"/>
                <w:b w:val="1"/>
                <w:bCs w:val="1"/>
                <w:color w:val="auto"/>
                <w:w w:val="96"/>
              </w:rPr>
              <w:t>Amount and Nature</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Percent</w:t>
            </w:r>
          </w:p>
        </w:tc>
      </w:tr>
      <w:tr>
        <w:trPr>
          <w:trHeight w:val="203"/>
        </w:trPr>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94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Name and Address</w:t>
            </w:r>
          </w:p>
        </w:tc>
        <w:tc>
          <w:tcPr>
            <w:tcW w:w="2840" w:type="dxa"/>
            <w:vAlign w:val="bottom"/>
          </w:tcPr>
          <w:p>
            <w:pPr>
              <w:jc w:val="center"/>
              <w:ind w:left="260"/>
              <w:spacing w:after="0" w:line="202" w:lineRule="exact"/>
              <w:rPr>
                <w:sz w:val="20"/>
                <w:szCs w:val="20"/>
                <w:color w:val="auto"/>
              </w:rPr>
            </w:pPr>
            <w:r>
              <w:rPr>
                <w:rFonts w:ascii="Arial" w:cs="Arial" w:eastAsia="Arial" w:hAnsi="Arial"/>
                <w:sz w:val="18"/>
                <w:szCs w:val="18"/>
                <w:b w:val="1"/>
                <w:bCs w:val="1"/>
                <w:color w:val="auto"/>
                <w:w w:val="98"/>
              </w:rPr>
              <w:t>of Beneficial</w:t>
            </w:r>
          </w:p>
        </w:tc>
        <w:tc>
          <w:tcPr>
            <w:tcW w:w="10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rPr>
              <w:t>of</w:t>
            </w:r>
          </w:p>
        </w:tc>
      </w:tr>
      <w:tr>
        <w:trPr>
          <w:trHeight w:val="270"/>
        </w:trPr>
        <w:tc>
          <w:tcPr>
            <w:tcW w:w="250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Class</w:t>
            </w:r>
          </w:p>
        </w:tc>
        <w:tc>
          <w:tcPr>
            <w:tcW w:w="394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Beneficial Owner</w:t>
            </w:r>
          </w:p>
        </w:tc>
        <w:tc>
          <w:tcPr>
            <w:tcW w:w="2840" w:type="dxa"/>
            <w:vAlign w:val="bottom"/>
          </w:tcPr>
          <w:p>
            <w:pPr>
              <w:jc w:val="center"/>
              <w:ind w:left="260"/>
              <w:spacing w:after="0"/>
              <w:rPr>
                <w:sz w:val="20"/>
                <w:szCs w:val="20"/>
                <w:color w:val="auto"/>
              </w:rPr>
            </w:pPr>
            <w:r>
              <w:rPr>
                <w:rFonts w:ascii="Arial" w:cs="Arial" w:eastAsia="Arial" w:hAnsi="Arial"/>
                <w:sz w:val="18"/>
                <w:szCs w:val="18"/>
                <w:b w:val="1"/>
                <w:bCs w:val="1"/>
                <w:color w:val="auto"/>
                <w:w w:val="96"/>
              </w:rPr>
              <w:t>Ownership</w:t>
            </w:r>
          </w:p>
        </w:tc>
        <w:tc>
          <w:tcPr>
            <w:tcW w:w="1000" w:type="dxa"/>
            <w:vAlign w:val="bottom"/>
            <w:gridSpan w:val="2"/>
          </w:tcPr>
          <w:p>
            <w:pPr>
              <w:jc w:val="center"/>
              <w:ind w:right="180"/>
              <w:spacing w:after="0" w:line="270" w:lineRule="exact"/>
              <w:rPr>
                <w:sz w:val="20"/>
                <w:szCs w:val="20"/>
                <w:color w:val="auto"/>
              </w:rPr>
            </w:pPr>
            <w:r>
              <w:rPr>
                <w:rFonts w:ascii="Arial" w:cs="Arial" w:eastAsia="Arial" w:hAnsi="Arial"/>
                <w:sz w:val="18"/>
                <w:szCs w:val="18"/>
                <w:b w:val="1"/>
                <w:bCs w:val="1"/>
                <w:color w:val="auto"/>
                <w:w w:val="92"/>
              </w:rPr>
              <w:t>Class</w:t>
            </w:r>
            <w:r>
              <w:rPr>
                <w:rFonts w:ascii="Arial" w:cs="Arial" w:eastAsia="Arial" w:hAnsi="Arial"/>
                <w:sz w:val="29"/>
                <w:szCs w:val="29"/>
                <w:b w:val="1"/>
                <w:bCs w:val="1"/>
                <w:color w:val="auto"/>
                <w:w w:val="92"/>
                <w:vertAlign w:val="superscript"/>
              </w:rPr>
              <w:t>(1)</w:t>
            </w:r>
          </w:p>
        </w:tc>
      </w:tr>
      <w:tr>
        <w:trPr>
          <w:trHeight w:val="20"/>
        </w:trPr>
        <w:tc>
          <w:tcPr>
            <w:tcW w:w="1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1160" w:type="dxa"/>
            <w:vAlign w:val="bottom"/>
          </w:tcPr>
          <w:p>
            <w:pPr>
              <w:spacing w:after="0"/>
              <w:rPr>
                <w:sz w:val="17"/>
                <w:szCs w:val="17"/>
                <w:color w:val="auto"/>
              </w:rPr>
            </w:pPr>
          </w:p>
        </w:tc>
        <w:tc>
          <w:tcPr>
            <w:tcW w:w="13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Common Stock</w:t>
            </w:r>
          </w:p>
        </w:tc>
        <w:tc>
          <w:tcPr>
            <w:tcW w:w="394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rPr>
              <w:t>EARNEST Partners, LLC</w:t>
            </w:r>
          </w:p>
        </w:tc>
        <w:tc>
          <w:tcPr>
            <w:tcW w:w="2840" w:type="dxa"/>
            <w:vAlign w:val="bottom"/>
            <w:shd w:val="clear" w:color="auto" w:fill="CCEEFF"/>
          </w:tcPr>
          <w:p>
            <w:pPr>
              <w:jc w:val="right"/>
              <w:ind w:right="20"/>
              <w:spacing w:after="0" w:line="199" w:lineRule="exact"/>
              <w:rPr>
                <w:sz w:val="20"/>
                <w:szCs w:val="20"/>
                <w:color w:val="auto"/>
              </w:rPr>
            </w:pPr>
            <w:r>
              <w:rPr>
                <w:rFonts w:ascii="Arial" w:cs="Arial" w:eastAsia="Arial" w:hAnsi="Arial"/>
                <w:sz w:val="15"/>
                <w:szCs w:val="15"/>
                <w:color w:val="auto"/>
              </w:rPr>
              <w:t>3,028,961</w:t>
            </w:r>
            <w:r>
              <w:rPr>
                <w:rFonts w:ascii="Arial" w:cs="Arial" w:eastAsia="Arial" w:hAnsi="Arial"/>
                <w:sz w:val="23"/>
                <w:szCs w:val="23"/>
                <w:color w:val="auto"/>
                <w:vertAlign w:val="superscript"/>
              </w:rPr>
              <w:t>(2)</w:t>
            </w:r>
          </w:p>
        </w:tc>
        <w:tc>
          <w:tcPr>
            <w:tcW w:w="10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8.90%</w:t>
            </w:r>
          </w:p>
        </w:tc>
      </w:tr>
      <w:tr>
        <w:trPr>
          <w:trHeight w:val="203"/>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1180 Peachtree Street NE, Suite 2300</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rPr>
              <w:t>Atlanta, GA 30309</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250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Common Stock</w:t>
            </w:r>
          </w:p>
        </w:tc>
        <w:tc>
          <w:tcPr>
            <w:tcW w:w="394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Mairs and Power, Inc.</w:t>
            </w:r>
          </w:p>
        </w:tc>
        <w:tc>
          <w:tcPr>
            <w:tcW w:w="2840" w:type="dxa"/>
            <w:vAlign w:val="bottom"/>
          </w:tcPr>
          <w:p>
            <w:pPr>
              <w:jc w:val="right"/>
              <w:ind w:right="20"/>
              <w:spacing w:after="0" w:line="205" w:lineRule="exact"/>
              <w:rPr>
                <w:sz w:val="20"/>
                <w:szCs w:val="20"/>
                <w:color w:val="auto"/>
              </w:rPr>
            </w:pPr>
            <w:r>
              <w:rPr>
                <w:rFonts w:ascii="Arial" w:cs="Arial" w:eastAsia="Arial" w:hAnsi="Arial"/>
                <w:sz w:val="15"/>
                <w:szCs w:val="15"/>
                <w:color w:val="auto"/>
              </w:rPr>
              <w:t>2,444,391</w:t>
            </w:r>
            <w:r>
              <w:rPr>
                <w:rFonts w:ascii="Arial" w:cs="Arial" w:eastAsia="Arial" w:hAnsi="Arial"/>
                <w:sz w:val="23"/>
                <w:szCs w:val="23"/>
                <w:color w:val="auto"/>
                <w:vertAlign w:val="superscript"/>
              </w:rPr>
              <w:t>(3)</w:t>
            </w:r>
          </w:p>
        </w:tc>
        <w:tc>
          <w:tcPr>
            <w:tcW w:w="10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7.18%</w:t>
            </w:r>
          </w:p>
        </w:tc>
      </w:tr>
      <w:tr>
        <w:trPr>
          <w:trHeight w:val="203"/>
        </w:trPr>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9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332 Minnesota Street</w:t>
            </w:r>
          </w:p>
        </w:tc>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9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W-1520 First National Bank Building</w:t>
            </w:r>
          </w:p>
        </w:tc>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940" w:type="dxa"/>
            <w:vAlign w:val="bottom"/>
            <w:gridSpan w:val="2"/>
          </w:tcPr>
          <w:p>
            <w:pPr>
              <w:ind w:left="160"/>
              <w:spacing w:after="0" w:line="200" w:lineRule="exact"/>
              <w:rPr>
                <w:sz w:val="20"/>
                <w:szCs w:val="20"/>
                <w:color w:val="auto"/>
              </w:rPr>
            </w:pPr>
            <w:r>
              <w:rPr>
                <w:rFonts w:ascii="Arial" w:cs="Arial" w:eastAsia="Arial" w:hAnsi="Arial"/>
                <w:sz w:val="18"/>
                <w:szCs w:val="18"/>
                <w:color w:val="auto"/>
              </w:rPr>
              <w:t>St. Paul, MN 55101</w:t>
            </w:r>
          </w:p>
        </w:tc>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13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w:t>
            </w:r>
          </w:p>
        </w:tc>
        <w:tc>
          <w:tcPr>
            <w:tcW w:w="3940" w:type="dxa"/>
            <w:vAlign w:val="bottom"/>
            <w:gridSpan w:val="2"/>
            <w:shd w:val="clear" w:color="auto" w:fill="CCEEFF"/>
          </w:tcPr>
          <w:p>
            <w:pPr>
              <w:ind w:left="160"/>
              <w:spacing w:after="0" w:line="206" w:lineRule="exact"/>
              <w:rPr>
                <w:sz w:val="20"/>
                <w:szCs w:val="20"/>
                <w:color w:val="auto"/>
              </w:rPr>
            </w:pPr>
            <w:r>
              <w:rPr>
                <w:rFonts w:ascii="Arial" w:cs="Arial" w:eastAsia="Arial" w:hAnsi="Arial"/>
                <w:sz w:val="18"/>
                <w:szCs w:val="18"/>
                <w:color w:val="auto"/>
              </w:rPr>
              <w:t>Neuberger Berman Group LLC</w:t>
            </w:r>
          </w:p>
        </w:tc>
        <w:tc>
          <w:tcPr>
            <w:tcW w:w="2840" w:type="dxa"/>
            <w:vAlign w:val="bottom"/>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2,284,873</w:t>
            </w:r>
            <w:r>
              <w:rPr>
                <w:rFonts w:ascii="Arial" w:cs="Arial" w:eastAsia="Arial" w:hAnsi="Arial"/>
                <w:sz w:val="23"/>
                <w:szCs w:val="23"/>
                <w:color w:val="auto"/>
                <w:vertAlign w:val="superscript"/>
              </w:rPr>
              <w:t>(4)</w:t>
            </w:r>
          </w:p>
        </w:tc>
        <w:tc>
          <w:tcPr>
            <w:tcW w:w="10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6.71%</w:t>
            </w:r>
          </w:p>
        </w:tc>
      </w:tr>
      <w:tr>
        <w:trPr>
          <w:trHeight w:val="203"/>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Neuberger Berman LLC</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Neuberger Berman Management LLC</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Neuberger Berman Equity Funds</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605 Third Avenue</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160"/>
              <w:spacing w:after="0" w:line="200" w:lineRule="exact"/>
              <w:rPr>
                <w:sz w:val="20"/>
                <w:szCs w:val="20"/>
                <w:color w:val="auto"/>
              </w:rPr>
            </w:pPr>
            <w:r>
              <w:rPr>
                <w:rFonts w:ascii="Arial" w:cs="Arial" w:eastAsia="Arial" w:hAnsi="Arial"/>
                <w:sz w:val="18"/>
                <w:szCs w:val="18"/>
                <w:color w:val="auto"/>
              </w:rPr>
              <w:t>New York, NY 10158</w:t>
            </w:r>
          </w:p>
        </w:tc>
        <w:tc>
          <w:tcPr>
            <w:tcW w:w="2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5"/>
        </w:trPr>
        <w:tc>
          <w:tcPr>
            <w:tcW w:w="250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Common Stock</w:t>
            </w:r>
          </w:p>
        </w:tc>
        <w:tc>
          <w:tcPr>
            <w:tcW w:w="394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FMR LLC</w:t>
            </w:r>
          </w:p>
        </w:tc>
        <w:tc>
          <w:tcPr>
            <w:tcW w:w="2840" w:type="dxa"/>
            <w:vAlign w:val="bottom"/>
          </w:tcPr>
          <w:p>
            <w:pPr>
              <w:jc w:val="right"/>
              <w:ind w:right="20"/>
              <w:spacing w:after="0" w:line="205" w:lineRule="exact"/>
              <w:rPr>
                <w:sz w:val="20"/>
                <w:szCs w:val="20"/>
                <w:color w:val="auto"/>
              </w:rPr>
            </w:pPr>
            <w:r>
              <w:rPr>
                <w:rFonts w:ascii="Arial" w:cs="Arial" w:eastAsia="Arial" w:hAnsi="Arial"/>
                <w:sz w:val="15"/>
                <w:szCs w:val="15"/>
                <w:color w:val="auto"/>
              </w:rPr>
              <w:t>1,960,450</w:t>
            </w:r>
            <w:r>
              <w:rPr>
                <w:rFonts w:ascii="Arial" w:cs="Arial" w:eastAsia="Arial" w:hAnsi="Arial"/>
                <w:sz w:val="23"/>
                <w:szCs w:val="23"/>
                <w:color w:val="auto"/>
                <w:vertAlign w:val="superscript"/>
              </w:rPr>
              <w:t>(5)</w:t>
            </w:r>
          </w:p>
        </w:tc>
        <w:tc>
          <w:tcPr>
            <w:tcW w:w="10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5.76%</w:t>
            </w:r>
          </w:p>
        </w:tc>
      </w:tr>
      <w:tr>
        <w:trPr>
          <w:trHeight w:val="244"/>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94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Edward C. Johnson, 3</w:t>
            </w:r>
            <w:r>
              <w:rPr>
                <w:rFonts w:ascii="Arial" w:cs="Arial" w:eastAsia="Arial" w:hAnsi="Arial"/>
                <w:sz w:val="28"/>
                <w:szCs w:val="28"/>
                <w:color w:val="auto"/>
                <w:vertAlign w:val="superscript"/>
              </w:rPr>
              <w:t>rd</w:t>
            </w:r>
          </w:p>
        </w:tc>
        <w:tc>
          <w:tcPr>
            <w:tcW w:w="2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3"/>
        </w:trPr>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9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82 Devonshire Street</w:t>
            </w:r>
          </w:p>
        </w:tc>
        <w:tc>
          <w:tcPr>
            <w:tcW w:w="2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Boston, MA 02109</w:t>
            </w:r>
          </w:p>
        </w:tc>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is based on 34,051,637 shares outstanding as of January 20, 2010.</w:t>
      </w:r>
    </w:p>
    <w:p>
      <w:pPr>
        <w:spacing w:after="0" w:line="211" w:lineRule="exact"/>
        <w:rPr>
          <w:rFonts w:ascii="Arial" w:cs="Arial" w:eastAsia="Arial" w:hAnsi="Arial"/>
          <w:sz w:val="18"/>
          <w:szCs w:val="18"/>
          <w:color w:val="auto"/>
        </w:rPr>
      </w:pPr>
    </w:p>
    <w:p>
      <w:pPr>
        <w:ind w:left="540" w:right="40" w:hanging="532"/>
        <w:spacing w:after="0" w:line="23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EARNEST Partners, LLC, an investment advisor, filed a Schedule 13G with the SEC on February 17, 2009, reflecting beneficial ownership as of December 31, 2008 of 3,028,961 shares of our common stock, with sole voting power with respect to 1,108,902 shares, shared voting power with respect to 792,459 shares, and sole dispositive power with respect to 3,028,961 shares.</w:t>
      </w:r>
    </w:p>
    <w:p>
      <w:pPr>
        <w:spacing w:after="0" w:line="194" w:lineRule="exact"/>
        <w:rPr>
          <w:rFonts w:ascii="Arial" w:cs="Arial" w:eastAsia="Arial" w:hAnsi="Arial"/>
          <w:sz w:val="18"/>
          <w:szCs w:val="18"/>
          <w:color w:val="auto"/>
        </w:rPr>
      </w:pPr>
    </w:p>
    <w:p>
      <w:pPr>
        <w:ind w:left="540" w:hanging="532"/>
        <w:spacing w:after="0" w:line="23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Mairs and Power, Inc., an investment adviser, filed a Schedule 13G/A with the SEC on February 13, 2009, reflecting beneficial ownership as of December 31, 2008, of 2,444,391 shares of our common stock, with sole voting power with respect to 2,057,500 shares and sole dispositive power with respect to 2,444,391 shares.</w:t>
      </w:r>
    </w:p>
    <w:p>
      <w:pPr>
        <w:spacing w:after="0" w:line="194" w:lineRule="exact"/>
        <w:rPr>
          <w:rFonts w:ascii="Arial" w:cs="Arial" w:eastAsia="Arial" w:hAnsi="Arial"/>
          <w:sz w:val="18"/>
          <w:szCs w:val="18"/>
          <w:color w:val="auto"/>
        </w:rPr>
      </w:pPr>
    </w:p>
    <w:p>
      <w:pPr>
        <w:ind w:left="540" w:right="80" w:hanging="532"/>
        <w:spacing w:after="0" w:line="236"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Neuberger Berman Group LLC, an investment advisor, on behalf of itself and its direct and indirect affiliates Neuberger Berman LLC, Neuberger Berman Management LLC, and Neuberger Berman Equity Funds, filed a Schedule 13G with the SEC on June 11, 2009, reflecting beneficial ownership as of May 31, 2009, of 2,284,873 shares of our common stock as follows: (a) for each of Neuberger Berman Group LLC and Neuberger Berman LLC, sole voting power with respect to 46,380 shares, shared voting power with respect to 1,897,115 shares, and shared dispositive power with respect to 2,284,873 shares, (b) for Neuberger Berman Management LLC, shared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540" w:right="520"/>
        <w:spacing w:after="0" w:line="238" w:lineRule="auto"/>
        <w:rPr>
          <w:sz w:val="20"/>
          <w:szCs w:val="20"/>
          <w:color w:val="auto"/>
        </w:rPr>
      </w:pPr>
      <w:r>
        <w:rPr>
          <w:rFonts w:ascii="Arial" w:cs="Arial" w:eastAsia="Arial" w:hAnsi="Arial"/>
          <w:sz w:val="18"/>
          <w:szCs w:val="18"/>
          <w:color w:val="auto"/>
        </w:rPr>
        <w:t>voting power with respect to 1,897,115 shares and shared dispositive power with respect to 1,897,115 shares, and (c) for Neuberger Berman Equity Funds, shared voting power with respect to 1,890,604 shares and shared dispositive power with respect to 1,890,604 shares.</w:t>
      </w:r>
    </w:p>
    <w:p>
      <w:pPr>
        <w:spacing w:after="0" w:line="208" w:lineRule="exact"/>
        <w:rPr>
          <w:sz w:val="20"/>
          <w:szCs w:val="20"/>
          <w:color w:val="auto"/>
        </w:rPr>
      </w:pPr>
    </w:p>
    <w:p>
      <w:pPr>
        <w:ind w:left="540" w:hanging="532"/>
        <w:spacing w:after="0" w:line="182" w:lineRule="auto"/>
        <w:tabs>
          <w:tab w:leader="none" w:pos="540" w:val="left"/>
        </w:tabs>
        <w:numPr>
          <w:ilvl w:val="0"/>
          <w:numId w:val="14"/>
        </w:numPr>
        <w:rPr>
          <w:rFonts w:ascii="Arial" w:cs="Arial" w:eastAsia="Arial" w:hAnsi="Arial"/>
          <w:sz w:val="34"/>
          <w:szCs w:val="34"/>
          <w:color w:val="auto"/>
          <w:vertAlign w:val="superscript"/>
        </w:rPr>
      </w:pPr>
      <w:r>
        <w:rPr>
          <w:rFonts w:ascii="Arial" w:cs="Arial" w:eastAsia="Arial" w:hAnsi="Arial"/>
          <w:sz w:val="17"/>
          <w:szCs w:val="17"/>
          <w:color w:val="auto"/>
        </w:rPr>
        <w:t>FMR LLC, an investment advisor, on behalf of itself and its controlling shareholder Edward C. Johnson, 3</w:t>
      </w:r>
      <w:r>
        <w:rPr>
          <w:rFonts w:ascii="Arial" w:cs="Arial" w:eastAsia="Arial" w:hAnsi="Arial"/>
          <w:sz w:val="28"/>
          <w:szCs w:val="28"/>
          <w:color w:val="auto"/>
          <w:vertAlign w:val="superscript"/>
        </w:rPr>
        <w:t>rd</w:t>
      </w:r>
      <w:r>
        <w:rPr>
          <w:rFonts w:ascii="Arial" w:cs="Arial" w:eastAsia="Arial" w:hAnsi="Arial"/>
          <w:sz w:val="17"/>
          <w:szCs w:val="17"/>
          <w:color w:val="auto"/>
        </w:rPr>
        <w:t>, filed a Schedule 13G/A with the SEC on January 11, 2010, reflecting beneficial ownership as of December 31, 2009, of 1,960,450 shares of our common stock, as follows:</w:t>
      </w:r>
    </w:p>
    <w:p>
      <w:pPr>
        <w:spacing w:after="0" w:line="1" w:lineRule="exact"/>
        <w:rPr>
          <w:rFonts w:ascii="Arial" w:cs="Arial" w:eastAsia="Arial" w:hAnsi="Arial"/>
          <w:sz w:val="34"/>
          <w:szCs w:val="34"/>
          <w:color w:val="auto"/>
          <w:vertAlign w:val="superscript"/>
        </w:rPr>
      </w:pPr>
    </w:p>
    <w:p>
      <w:pPr>
        <w:ind w:left="540"/>
        <w:spacing w:after="0" w:line="234" w:lineRule="auto"/>
        <w:rPr>
          <w:rFonts w:ascii="Arial" w:cs="Arial" w:eastAsia="Arial" w:hAnsi="Arial"/>
          <w:sz w:val="34"/>
          <w:szCs w:val="34"/>
          <w:color w:val="auto"/>
          <w:vertAlign w:val="superscript"/>
        </w:rPr>
      </w:pPr>
      <w:r>
        <w:rPr>
          <w:rFonts w:ascii="Arial" w:cs="Arial" w:eastAsia="Arial" w:hAnsi="Arial"/>
          <w:sz w:val="18"/>
          <w:szCs w:val="18"/>
          <w:color w:val="auto"/>
        </w:rPr>
        <w:t>(a) for FMR LLC, sole voting power with respect to 750 shares and sole dispositive power with respect to 1,960,450 shares, and (b) for</w:t>
      </w:r>
    </w:p>
    <w:p>
      <w:pPr>
        <w:ind w:left="540"/>
        <w:spacing w:after="0"/>
        <w:rPr>
          <w:sz w:val="20"/>
          <w:szCs w:val="20"/>
          <w:color w:val="auto"/>
        </w:rPr>
      </w:pPr>
      <w:r>
        <w:rPr>
          <w:rFonts w:ascii="Arial" w:cs="Arial" w:eastAsia="Arial" w:hAnsi="Arial"/>
          <w:sz w:val="18"/>
          <w:szCs w:val="18"/>
          <w:color w:val="auto"/>
        </w:rPr>
        <w:t>Edward C. Johnson, 3</w:t>
      </w:r>
      <w:r>
        <w:rPr>
          <w:rFonts w:ascii="Arial" w:cs="Arial" w:eastAsia="Arial" w:hAnsi="Arial"/>
          <w:sz w:val="29"/>
          <w:szCs w:val="29"/>
          <w:color w:val="auto"/>
          <w:vertAlign w:val="superscript"/>
        </w:rPr>
        <w:t>rd</w:t>
      </w:r>
      <w:r>
        <w:rPr>
          <w:rFonts w:ascii="Arial" w:cs="Arial" w:eastAsia="Arial" w:hAnsi="Arial"/>
          <w:sz w:val="18"/>
          <w:szCs w:val="18"/>
          <w:color w:val="auto"/>
        </w:rPr>
        <w:t>, sole dispositive power with respect to 1,960,450 shares.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20, 2010 by</w:t>
      </w:r>
    </w:p>
    <w:p>
      <w:pPr>
        <w:jc w:val="both"/>
        <w:ind w:right="180" w:firstLine="8"/>
        <w:spacing w:after="0" w:line="238" w:lineRule="auto"/>
        <w:tabs>
          <w:tab w:leader="none" w:pos="2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directors and nominees for director, (b) our "principal executive officer," "principal financial officer" and the next three most highly compensated executive officers named in the "Summary Compensation Table" on page 50 (we collectively refer to these persons as our "named executive officers"), and (c) all directors and executive officers as a group, including our named executive officers.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Common Stock</w:t>
            </w:r>
          </w:p>
        </w:tc>
      </w:tr>
      <w:tr>
        <w:trPr>
          <w:trHeight w:val="203"/>
        </w:trPr>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7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Beneficially</w:t>
            </w:r>
          </w:p>
        </w:tc>
      </w:tr>
      <w:tr>
        <w:trPr>
          <w:trHeight w:val="203"/>
        </w:trPr>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Amount and Nature of</w:t>
            </w:r>
          </w:p>
        </w:tc>
        <w:tc>
          <w:tcPr>
            <w:tcW w:w="17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6"/>
              </w:rPr>
              <w:t>Owned</w:t>
            </w:r>
          </w:p>
        </w:tc>
      </w:tr>
      <w:tr>
        <w:trPr>
          <w:trHeight w:val="203"/>
        </w:trPr>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Beneficial Ownership</w:t>
            </w:r>
          </w:p>
        </w:tc>
        <w:tc>
          <w:tcPr>
            <w:tcW w:w="17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as a Percent of</w:t>
            </w:r>
          </w:p>
        </w:tc>
      </w:tr>
      <w:tr>
        <w:trPr>
          <w:trHeight w:val="221"/>
        </w:trPr>
        <w:tc>
          <w:tcPr>
            <w:tcW w:w="1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340" w:type="dxa"/>
            <w:vAlign w:val="bottom"/>
          </w:tcPr>
          <w:p>
            <w:pPr>
              <w:jc w:val="center"/>
              <w:spacing w:after="0" w:line="221" w:lineRule="exact"/>
              <w:rPr>
                <w:sz w:val="20"/>
                <w:szCs w:val="20"/>
                <w:color w:val="auto"/>
              </w:rPr>
            </w:pPr>
            <w:r>
              <w:rPr>
                <w:rFonts w:ascii="Arial" w:cs="Arial" w:eastAsia="Arial" w:hAnsi="Arial"/>
                <w:sz w:val="16"/>
                <w:szCs w:val="16"/>
                <w:b w:val="1"/>
                <w:bCs w:val="1"/>
                <w:color w:val="auto"/>
              </w:rPr>
              <w:t>of Common Stock</w:t>
            </w:r>
            <w:r>
              <w:rPr>
                <w:rFonts w:ascii="Arial" w:cs="Arial" w:eastAsia="Arial" w:hAnsi="Arial"/>
                <w:sz w:val="25"/>
                <w:szCs w:val="25"/>
                <w:b w:val="1"/>
                <w:bCs w:val="1"/>
                <w:color w:val="auto"/>
                <w:vertAlign w:val="superscript"/>
              </w:rPr>
              <w:t>(1)(2)</w:t>
            </w: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Common Stock</w:t>
            </w:r>
          </w:p>
        </w:tc>
      </w:tr>
      <w:tr>
        <w:trPr>
          <w:trHeight w:val="270"/>
        </w:trPr>
        <w:tc>
          <w:tcPr>
            <w:tcW w:w="5600" w:type="dxa"/>
            <w:vAlign w:val="bottom"/>
            <w:gridSpan w:val="3"/>
          </w:tcPr>
          <w:p>
            <w:pPr>
              <w:ind w:left="1720"/>
              <w:spacing w:after="0"/>
              <w:rPr>
                <w:sz w:val="20"/>
                <w:szCs w:val="20"/>
                <w:color w:val="auto"/>
              </w:rPr>
            </w:pPr>
            <w:r>
              <w:rPr>
                <w:rFonts w:ascii="Arial" w:cs="Arial" w:eastAsia="Arial" w:hAnsi="Arial"/>
                <w:sz w:val="18"/>
                <w:szCs w:val="18"/>
                <w:b w:val="1"/>
                <w:bCs w:val="1"/>
                <w:color w:val="auto"/>
              </w:rPr>
              <w:t>Name</w:t>
            </w:r>
          </w:p>
        </w:tc>
        <w:tc>
          <w:tcPr>
            <w:tcW w:w="2340" w:type="dxa"/>
            <w:vAlign w:val="bottom"/>
          </w:tcPr>
          <w:p>
            <w:pPr>
              <w:jc w:val="center"/>
              <w:spacing w:after="0"/>
              <w:rPr>
                <w:sz w:val="20"/>
                <w:szCs w:val="20"/>
                <w:color w:val="auto"/>
              </w:rPr>
            </w:pPr>
            <w:r>
              <w:rPr>
                <w:rFonts w:ascii="Arial" w:cs="Arial" w:eastAsia="Arial" w:hAnsi="Arial"/>
                <w:sz w:val="15"/>
                <w:szCs w:val="15"/>
                <w:b w:val="1"/>
                <w:bCs w:val="1"/>
                <w:color w:val="auto"/>
                <w:w w:val="97"/>
              </w:rPr>
              <w:t>(3)</w:t>
            </w:r>
          </w:p>
        </w:tc>
        <w:tc>
          <w:tcPr>
            <w:tcW w:w="1760" w:type="dxa"/>
            <w:vAlign w:val="bottom"/>
            <w:gridSpan w:val="2"/>
          </w:tcPr>
          <w:p>
            <w:pPr>
              <w:jc w:val="center"/>
              <w:ind w:right="140"/>
              <w:spacing w:after="0" w:line="270" w:lineRule="exact"/>
              <w:rPr>
                <w:sz w:val="20"/>
                <w:szCs w:val="20"/>
                <w:color w:val="auto"/>
              </w:rPr>
            </w:pPr>
            <w:r>
              <w:rPr>
                <w:rFonts w:ascii="Arial" w:cs="Arial" w:eastAsia="Arial" w:hAnsi="Arial"/>
                <w:sz w:val="18"/>
                <w:szCs w:val="18"/>
                <w:b w:val="1"/>
                <w:bCs w:val="1"/>
                <w:color w:val="auto"/>
                <w:w w:val="94"/>
              </w:rPr>
              <w:t>Outstanding</w:t>
            </w:r>
            <w:r>
              <w:rPr>
                <w:rFonts w:ascii="Arial" w:cs="Arial" w:eastAsia="Arial" w:hAnsi="Arial"/>
                <w:sz w:val="29"/>
                <w:szCs w:val="29"/>
                <w:b w:val="1"/>
                <w:bCs w:val="1"/>
                <w:color w:val="auto"/>
                <w:w w:val="94"/>
                <w:vertAlign w:val="superscript"/>
              </w:rPr>
              <w:t>(4)</w:t>
            </w:r>
          </w:p>
        </w:tc>
      </w:tr>
      <w:tr>
        <w:trPr>
          <w:trHeight w:val="196"/>
        </w:trPr>
        <w:tc>
          <w:tcPr>
            <w:tcW w:w="1720" w:type="dxa"/>
            <w:vAlign w:val="bottom"/>
          </w:tcPr>
          <w:p>
            <w:pPr>
              <w:spacing w:after="0"/>
              <w:rPr>
                <w:sz w:val="17"/>
                <w:szCs w:val="17"/>
                <w:color w:val="auto"/>
              </w:rPr>
            </w:pPr>
          </w:p>
        </w:tc>
        <w:tc>
          <w:tcPr>
            <w:tcW w:w="38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23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Robert C. Buhrmaster</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42,361</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Winslow H. Buxton</w:t>
            </w:r>
          </w:p>
        </w:tc>
        <w:tc>
          <w:tcPr>
            <w:tcW w:w="234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64,208</w:t>
            </w:r>
          </w:p>
        </w:tc>
        <w:tc>
          <w:tcPr>
            <w:tcW w:w="1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Janet K. Cooper</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31,233</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Gary L. Ellis</w:t>
            </w:r>
          </w:p>
        </w:tc>
        <w:tc>
          <w:tcPr>
            <w:tcW w:w="234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13,044</w:t>
            </w:r>
          </w:p>
        </w:tc>
        <w:tc>
          <w:tcPr>
            <w:tcW w:w="1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Katherine J. Harless</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25,199</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Robert H. Nassau</w:t>
            </w:r>
          </w:p>
        </w:tc>
        <w:tc>
          <w:tcPr>
            <w:tcW w:w="234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28,420</w:t>
            </w:r>
          </w:p>
        </w:tc>
        <w:tc>
          <w:tcPr>
            <w:tcW w:w="1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Gregg W. Steinhafel</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41,524</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Inge G. Thulin</w:t>
            </w:r>
          </w:p>
        </w:tc>
        <w:tc>
          <w:tcPr>
            <w:tcW w:w="234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6,347</w:t>
            </w:r>
          </w:p>
        </w:tc>
        <w:tc>
          <w:tcPr>
            <w:tcW w:w="1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Christopher A. Twomey</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41,070</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432"/>
        </w:trPr>
        <w:tc>
          <w:tcPr>
            <w:tcW w:w="1720" w:type="dxa"/>
            <w:vAlign w:val="bottom"/>
          </w:tcPr>
          <w:p>
            <w:pPr>
              <w:spacing w:after="0"/>
              <w:rPr>
                <w:sz w:val="24"/>
                <w:szCs w:val="24"/>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Named Executive Officers:</w:t>
            </w:r>
          </w:p>
        </w:tc>
        <w:tc>
          <w:tcPr>
            <w:tcW w:w="2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Michael J. Hoffman</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656,809</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03"/>
        </w:trPr>
        <w:tc>
          <w:tcPr>
            <w:tcW w:w="1720" w:type="dxa"/>
            <w:vAlign w:val="bottom"/>
          </w:tcPr>
          <w:p>
            <w:pPr>
              <w:spacing w:after="0"/>
              <w:rPr>
                <w:sz w:val="17"/>
                <w:szCs w:val="17"/>
                <w:color w:val="auto"/>
              </w:rPr>
            </w:pPr>
          </w:p>
        </w:tc>
        <w:tc>
          <w:tcPr>
            <w:tcW w:w="3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Stephen P. Wolfe</w:t>
            </w:r>
          </w:p>
        </w:tc>
        <w:tc>
          <w:tcPr>
            <w:tcW w:w="234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460,228</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Peter M. Ramstad</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29,956</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Timothy P. Dordell</w:t>
            </w:r>
          </w:p>
        </w:tc>
        <w:tc>
          <w:tcPr>
            <w:tcW w:w="2340" w:type="dxa"/>
            <w:vAlign w:val="bottom"/>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30,781</w:t>
            </w:r>
          </w:p>
        </w:tc>
        <w:tc>
          <w:tcPr>
            <w:tcW w:w="1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1720" w:type="dxa"/>
            <w:vAlign w:val="bottom"/>
          </w:tcPr>
          <w:p>
            <w:pPr>
              <w:spacing w:after="0"/>
              <w:rPr>
                <w:sz w:val="17"/>
                <w:szCs w:val="17"/>
                <w:color w:val="auto"/>
              </w:rPr>
            </w:pPr>
          </w:p>
        </w:tc>
        <w:tc>
          <w:tcPr>
            <w:tcW w:w="3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William E. Brown, Jr.</w:t>
            </w:r>
          </w:p>
        </w:tc>
        <w:tc>
          <w:tcPr>
            <w:tcW w:w="234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105,759</w:t>
            </w:r>
          </w:p>
        </w:tc>
        <w:tc>
          <w:tcPr>
            <w:tcW w:w="1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6"/>
        </w:trPr>
        <w:tc>
          <w:tcPr>
            <w:tcW w:w="1720" w:type="dxa"/>
            <w:vAlign w:val="bottom"/>
          </w:tcPr>
          <w:p>
            <w:pPr>
              <w:spacing w:after="0"/>
              <w:rPr>
                <w:sz w:val="17"/>
                <w:szCs w:val="17"/>
                <w:color w:val="auto"/>
              </w:rPr>
            </w:pPr>
          </w:p>
        </w:tc>
        <w:tc>
          <w:tcPr>
            <w:tcW w:w="38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All Directors and Executive Officers as a group</w:t>
            </w:r>
          </w:p>
        </w:tc>
        <w:tc>
          <w:tcPr>
            <w:tcW w:w="23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1720" w:type="dxa"/>
            <w:vAlign w:val="bottom"/>
          </w:tcPr>
          <w:p>
            <w:pPr>
              <w:spacing w:after="0"/>
              <w:rPr>
                <w:sz w:val="17"/>
                <w:szCs w:val="17"/>
                <w:color w:val="auto"/>
              </w:rPr>
            </w:pPr>
          </w:p>
        </w:tc>
        <w:tc>
          <w:tcPr>
            <w:tcW w:w="12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(23)</w:t>
            </w:r>
          </w:p>
        </w:tc>
        <w:tc>
          <w:tcPr>
            <w:tcW w:w="2600" w:type="dxa"/>
            <w:vAlign w:val="bottom"/>
            <w:shd w:val="clear" w:color="auto" w:fill="CCEEFF"/>
          </w:tcPr>
          <w:p>
            <w:pPr>
              <w:spacing w:after="0"/>
              <w:rPr>
                <w:sz w:val="17"/>
                <w:szCs w:val="17"/>
                <w:color w:val="auto"/>
              </w:rPr>
            </w:pPr>
          </w:p>
        </w:tc>
        <w:tc>
          <w:tcPr>
            <w:tcW w:w="2340" w:type="dxa"/>
            <w:vAlign w:val="bottom"/>
            <w:shd w:val="clear" w:color="auto" w:fill="CCEEFF"/>
          </w:tcPr>
          <w:p>
            <w:pPr>
              <w:jc w:val="right"/>
              <w:ind w:right="73"/>
              <w:spacing w:after="0" w:line="200" w:lineRule="exact"/>
              <w:rPr>
                <w:sz w:val="20"/>
                <w:szCs w:val="20"/>
                <w:color w:val="auto"/>
              </w:rPr>
            </w:pPr>
            <w:r>
              <w:rPr>
                <w:rFonts w:ascii="Arial" w:cs="Arial" w:eastAsia="Arial" w:hAnsi="Arial"/>
                <w:sz w:val="18"/>
                <w:szCs w:val="18"/>
                <w:color w:val="auto"/>
              </w:rPr>
              <w:t>1,966,865</w:t>
            </w:r>
          </w:p>
        </w:tc>
        <w:tc>
          <w:tcPr>
            <w:tcW w:w="17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5.61%</w:t>
            </w:r>
          </w:p>
        </w:tc>
      </w:tr>
      <w:tr>
        <w:trPr>
          <w:trHeight w:val="108"/>
        </w:trPr>
        <w:tc>
          <w:tcPr>
            <w:tcW w:w="17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212" w:lineRule="exact"/>
        <w:rPr>
          <w:sz w:val="20"/>
          <w:szCs w:val="20"/>
          <w:color w:val="auto"/>
        </w:rPr>
      </w:pPr>
    </w:p>
    <w:p>
      <w:pPr>
        <w:ind w:left="540" w:hanging="532"/>
        <w:spacing w:after="0" w:line="275"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the persons in this table have sole voting and investment power with respect to all shares of our common stock shown as beneficially owned by them, subject to community property laws where applicable and subject to the information contained in the footnotes to this table.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0" w:hanging="532"/>
        <w:spacing w:after="0" w:line="273"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"Beneficial ownership" also includes shares that a person has the right to acquire within 60 days of January 20, 2010 and, as such, includes the following shares that may be acquired upon exercise of stock options within 60 days of January 20, 2010, shares allocated to executive officers under the IS&amp;ESOP, and common stock units, matching units and performance share units, collectively referred to as units, credited under The Toro Company Deferred Compensation Plan for Non-Employee Directors and The Toro Company Deferred Compensation Plan for Officers. Directors and executive officers have no voting power with respect to units credited under these deferred compensation plans.</w:t>
      </w:r>
    </w:p>
    <w:p>
      <w:pPr>
        <w:spacing w:after="0" w:line="156"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8"/>
              </w:rPr>
              <w:t>Units under the</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Deferred</w:t>
            </w:r>
          </w:p>
        </w:tc>
        <w:tc>
          <w:tcPr>
            <w:tcW w:w="17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Units under the</w:t>
            </w:r>
          </w:p>
        </w:tc>
      </w:tr>
      <w:tr>
        <w:trPr>
          <w:trHeight w:val="203"/>
        </w:trPr>
        <w:tc>
          <w:tcPr>
            <w:tcW w:w="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7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Deferred</w:t>
            </w:r>
          </w:p>
        </w:tc>
      </w:tr>
      <w:tr>
        <w:trPr>
          <w:trHeight w:val="203"/>
        </w:trPr>
        <w:tc>
          <w:tcPr>
            <w:tcW w:w="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w:t>
            </w:r>
          </w:p>
        </w:tc>
        <w:tc>
          <w:tcPr>
            <w:tcW w:w="17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Compensation</w:t>
            </w:r>
          </w:p>
        </w:tc>
      </w:tr>
      <w:tr>
        <w:trPr>
          <w:trHeight w:val="203"/>
        </w:trPr>
        <w:tc>
          <w:tcPr>
            <w:tcW w:w="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Stock</w:t>
            </w:r>
          </w:p>
        </w:tc>
        <w:tc>
          <w:tcPr>
            <w:tcW w:w="940" w:type="dxa"/>
            <w:vAlign w:val="bottom"/>
          </w:tcPr>
          <w:p>
            <w:pPr>
              <w:spacing w:after="0"/>
              <w:rPr>
                <w:sz w:val="17"/>
                <w:szCs w:val="17"/>
                <w:color w:val="auto"/>
              </w:rPr>
            </w:pP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for Non-Employee</w:t>
            </w:r>
          </w:p>
        </w:tc>
        <w:tc>
          <w:tcPr>
            <w:tcW w:w="17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Plan</w:t>
            </w:r>
          </w:p>
        </w:tc>
      </w:tr>
      <w:tr>
        <w:trPr>
          <w:trHeight w:val="241"/>
        </w:trPr>
        <w:tc>
          <w:tcPr>
            <w:tcW w:w="3900" w:type="dxa"/>
            <w:vAlign w:val="bottom"/>
            <w:gridSpan w:val="2"/>
          </w:tcPr>
          <w:p>
            <w:pPr>
              <w:ind w:left="12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Options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IS&amp;ESOP</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8"/>
              </w:rPr>
              <w:t>Directors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 Officers</w:t>
            </w:r>
          </w:p>
        </w:tc>
      </w:tr>
      <w:tr>
        <w:trPr>
          <w:trHeight w:val="21"/>
        </w:trPr>
        <w:tc>
          <w:tcPr>
            <w:tcW w:w="14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9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Non-Employee Directors:</w:t>
            </w: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Robert C. Buhrmaster</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13,686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4,076</w:t>
            </w: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shd w:val="clear" w:color="auto" w:fill="CCEEFF"/>
          </w:tcPr>
          <w:p>
            <w:pPr>
              <w:spacing w:after="0"/>
              <w:rPr>
                <w:sz w:val="17"/>
                <w:szCs w:val="17"/>
                <w:color w:val="auto"/>
              </w:rPr>
            </w:pPr>
          </w:p>
        </w:tc>
        <w:tc>
          <w:tcPr>
            <w:tcW w:w="3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Winslow H. Buxton</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13,686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2,195</w:t>
            </w:r>
          </w:p>
        </w:tc>
        <w:tc>
          <w:tcPr>
            <w:tcW w:w="1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Janet K. Cooper</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13,686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9,719</w:t>
            </w: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shd w:val="clear" w:color="auto" w:fill="CCEEFF"/>
          </w:tcPr>
          <w:p>
            <w:pPr>
              <w:spacing w:after="0"/>
              <w:rPr>
                <w:sz w:val="17"/>
                <w:szCs w:val="17"/>
                <w:color w:val="auto"/>
              </w:rPr>
            </w:pPr>
          </w:p>
        </w:tc>
        <w:tc>
          <w:tcPr>
            <w:tcW w:w="3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Gary L. Ellis</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6,140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1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Katherine J. Harless</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13,686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shd w:val="clear" w:color="auto" w:fill="CCEEFF"/>
          </w:tcPr>
          <w:p>
            <w:pPr>
              <w:spacing w:after="0"/>
              <w:rPr>
                <w:sz w:val="17"/>
                <w:szCs w:val="17"/>
                <w:color w:val="auto"/>
              </w:rPr>
            </w:pPr>
          </w:p>
        </w:tc>
        <w:tc>
          <w:tcPr>
            <w:tcW w:w="3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Robert H. Nassau</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12,352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15,050</w:t>
            </w:r>
          </w:p>
        </w:tc>
        <w:tc>
          <w:tcPr>
            <w:tcW w:w="1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Gregg W. Steinhafel</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13,686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1,254</w:t>
            </w: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shd w:val="clear" w:color="auto" w:fill="CCEEFF"/>
          </w:tcPr>
          <w:p>
            <w:pPr>
              <w:spacing w:after="0"/>
              <w:rPr>
                <w:sz w:val="17"/>
                <w:szCs w:val="17"/>
                <w:color w:val="auto"/>
              </w:rPr>
            </w:pPr>
          </w:p>
        </w:tc>
        <w:tc>
          <w:tcPr>
            <w:tcW w:w="3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Inge G. Thulin</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2,862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1,072</w:t>
            </w:r>
          </w:p>
        </w:tc>
        <w:tc>
          <w:tcPr>
            <w:tcW w:w="1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Christopher A. Twomey</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13,686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2,195</w:t>
            </w: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419"/>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Named Executive Officers:</w:t>
            </w:r>
          </w:p>
        </w:tc>
        <w:tc>
          <w:tcPr>
            <w:tcW w:w="9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Michael J. Hoffman</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392,401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31,017</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46,964</w:t>
            </w:r>
          </w:p>
        </w:tc>
        <w:tc>
          <w:tcPr>
            <w:tcW w:w="160" w:type="dxa"/>
            <w:vAlign w:val="bottom"/>
          </w:tcPr>
          <w:p>
            <w:pPr>
              <w:spacing w:after="0"/>
              <w:rPr>
                <w:sz w:val="17"/>
                <w:szCs w:val="17"/>
                <w:color w:val="auto"/>
              </w:rPr>
            </w:pPr>
          </w:p>
        </w:tc>
      </w:tr>
      <w:tr>
        <w:trPr>
          <w:trHeight w:val="203"/>
        </w:trPr>
        <w:tc>
          <w:tcPr>
            <w:tcW w:w="140" w:type="dxa"/>
            <w:vAlign w:val="bottom"/>
            <w:shd w:val="clear" w:color="auto" w:fill="CCEEFF"/>
          </w:tcPr>
          <w:p>
            <w:pPr>
              <w:spacing w:after="0"/>
              <w:rPr>
                <w:sz w:val="17"/>
                <w:szCs w:val="17"/>
                <w:color w:val="auto"/>
              </w:rPr>
            </w:pPr>
          </w:p>
        </w:tc>
        <w:tc>
          <w:tcPr>
            <w:tcW w:w="3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Stephen P. Wolfe</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128,919</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28,270</w:t>
            </w:r>
          </w:p>
        </w:tc>
        <w:tc>
          <w:tcPr>
            <w:tcW w:w="1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246,013</w:t>
            </w:r>
          </w:p>
        </w:tc>
        <w:tc>
          <w:tcPr>
            <w:tcW w:w="160" w:type="dxa"/>
            <w:vAlign w:val="bottom"/>
            <w:shd w:val="clear" w:color="auto" w:fill="CCEEFF"/>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Peter M. Ramstad</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27,600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r>
      <w:tr>
        <w:trPr>
          <w:trHeight w:val="203"/>
        </w:trPr>
        <w:tc>
          <w:tcPr>
            <w:tcW w:w="140" w:type="dxa"/>
            <w:vAlign w:val="bottom"/>
            <w:shd w:val="clear" w:color="auto" w:fill="CCEEFF"/>
          </w:tcPr>
          <w:p>
            <w:pPr>
              <w:spacing w:after="0"/>
              <w:rPr>
                <w:sz w:val="17"/>
                <w:szCs w:val="17"/>
                <w:color w:val="auto"/>
              </w:rPr>
            </w:pPr>
          </w:p>
        </w:tc>
        <w:tc>
          <w:tcPr>
            <w:tcW w:w="37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Timothy P. Dordell</w:t>
            </w:r>
          </w:p>
        </w:tc>
        <w:tc>
          <w:tcPr>
            <w:tcW w:w="9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27,804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17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3760" w:type="dxa"/>
            <w:vAlign w:val="bottom"/>
          </w:tcPr>
          <w:p>
            <w:pPr>
              <w:ind w:left="280"/>
              <w:spacing w:after="0" w:line="202" w:lineRule="exact"/>
              <w:rPr>
                <w:sz w:val="20"/>
                <w:szCs w:val="20"/>
                <w:color w:val="auto"/>
              </w:rPr>
            </w:pPr>
            <w:r>
              <w:rPr>
                <w:rFonts w:ascii="Arial" w:cs="Arial" w:eastAsia="Arial" w:hAnsi="Arial"/>
                <w:sz w:val="18"/>
                <w:szCs w:val="18"/>
                <w:color w:val="auto"/>
              </w:rPr>
              <w:t>William E. Brown, Jr.</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62,867</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6,734</w:t>
            </w:r>
          </w:p>
        </w:tc>
        <w:tc>
          <w:tcPr>
            <w:tcW w:w="17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r>
      <w:tr>
        <w:trPr>
          <w:trHeight w:val="206"/>
        </w:trPr>
        <w:tc>
          <w:tcPr>
            <w:tcW w:w="390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rPr>
              <w:t>All Directors and Executive Officers as a group</w:t>
            </w:r>
          </w:p>
        </w:tc>
        <w:tc>
          <w:tcPr>
            <w:tcW w:w="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900" w:type="dxa"/>
            <w:vAlign w:val="bottom"/>
            <w:gridSpan w:val="2"/>
            <w:shd w:val="clear" w:color="auto" w:fill="CCEEFF"/>
          </w:tcPr>
          <w:p>
            <w:pPr>
              <w:ind w:left="300"/>
              <w:spacing w:after="0" w:line="200" w:lineRule="exact"/>
              <w:rPr>
                <w:sz w:val="20"/>
                <w:szCs w:val="20"/>
                <w:color w:val="auto"/>
              </w:rPr>
            </w:pPr>
            <w:r>
              <w:rPr>
                <w:rFonts w:ascii="Arial" w:cs="Arial" w:eastAsia="Arial" w:hAnsi="Arial"/>
                <w:sz w:val="18"/>
                <w:szCs w:val="18"/>
                <w:color w:val="auto"/>
              </w:rPr>
              <w:t>(23)</w:t>
            </w:r>
          </w:p>
        </w:tc>
        <w:tc>
          <w:tcPr>
            <w:tcW w:w="92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979,239</w:t>
            </w: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116,312</w:t>
            </w:r>
          </w:p>
        </w:tc>
        <w:tc>
          <w:tcPr>
            <w:tcW w:w="172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35,560</w:t>
            </w:r>
          </w:p>
        </w:tc>
        <w:tc>
          <w:tcPr>
            <w:tcW w:w="15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307,438</w:t>
            </w:r>
          </w:p>
        </w:tc>
        <w:tc>
          <w:tcPr>
            <w:tcW w:w="160" w:type="dxa"/>
            <w:vAlign w:val="bottom"/>
            <w:shd w:val="clear" w:color="auto" w:fill="CCEEFF"/>
          </w:tcPr>
          <w:p>
            <w:pPr>
              <w:spacing w:after="0"/>
              <w:rPr>
                <w:sz w:val="17"/>
                <w:szCs w:val="17"/>
                <w:color w:val="auto"/>
              </w:rPr>
            </w:pPr>
          </w:p>
        </w:tc>
      </w:tr>
    </w:tbl>
    <w:p>
      <w:pPr>
        <w:spacing w:after="0" w:line="233" w:lineRule="exact"/>
        <w:rPr>
          <w:sz w:val="20"/>
          <w:szCs w:val="20"/>
          <w:color w:val="auto"/>
        </w:rPr>
      </w:pPr>
    </w:p>
    <w:p>
      <w:pPr>
        <w:ind w:left="540" w:hanging="532"/>
        <w:spacing w:after="0" w:line="23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held in trusts for estate planning purposes as follows: 48,327 shares for Mr. Buxton, 11,513 shares for Ms. Harless, 25,189 shares for Mr. Twomey, 57,026 shares for Mr. Wolfe, 1,833 shares for Mr. Dordell and 143,888 shares by all directors and executive officers as a group. Each of Messrs. Buxton, Twomey, Wolfe and Dordell and Ms. Harless has shared voting and investment power with respect to the shares held in trust. Additionally, includes 7,828 shares pledged by Ms. Cooper under the terms of a credit agreement under which there were no amounts outstanding as of January 20, 2010.</w:t>
      </w:r>
    </w:p>
    <w:p>
      <w:pPr>
        <w:spacing w:after="0" w:line="197" w:lineRule="exact"/>
        <w:rPr>
          <w:rFonts w:ascii="Arial" w:cs="Arial" w:eastAsia="Arial" w:hAnsi="Arial"/>
          <w:sz w:val="18"/>
          <w:szCs w:val="18"/>
          <w:color w:val="auto"/>
        </w:rPr>
      </w:pPr>
    </w:p>
    <w:p>
      <w:pPr>
        <w:ind w:left="540" w:right="720" w:hanging="532"/>
        <w:spacing w:after="0" w:line="23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Securities Exchange Act of 1934, as amended, or the Exchange Act. Percentage calculations assume, for each</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spacing w:after="0" w:line="237" w:lineRule="auto"/>
        <w:rPr>
          <w:sz w:val="20"/>
          <w:szCs w:val="20"/>
          <w:color w:val="auto"/>
        </w:rPr>
      </w:pPr>
      <w:r>
        <w:rPr>
          <w:rFonts w:ascii="Arial" w:cs="Arial" w:eastAsia="Arial" w:hAnsi="Arial"/>
          <w:sz w:val="18"/>
          <w:szCs w:val="18"/>
          <w:color w:val="auto"/>
        </w:rPr>
        <w:t>person and the group, that all shares that may be acquired by such person or by the group pursuant to stock options or other rights currently exercisable or that become exercisable within 60 days following January 20, 2010, are outstanding for the purpose of computing the percentage of common stock owned by such person or by the group. However, those unissued shares of our common stock described above are not deemed to be outstanding for calculating the percentage of common stock owned by any other person.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4" w:lineRule="exact"/>
        <w:rPr>
          <w:sz w:val="20"/>
          <w:szCs w:val="20"/>
          <w:color w:val="auto"/>
        </w:rPr>
      </w:pPr>
    </w:p>
    <w:p>
      <w:pPr>
        <w:jc w:val="both"/>
        <w:ind w:right="40" w:firstLine="387"/>
        <w:spacing w:after="0" w:line="237" w:lineRule="auto"/>
        <w:rPr>
          <w:sz w:val="20"/>
          <w:szCs w:val="20"/>
          <w:color w:val="auto"/>
        </w:rPr>
      </w:pPr>
      <w:r>
        <w:rPr>
          <w:rFonts w:ascii="Arial" w:cs="Arial" w:eastAsia="Arial" w:hAnsi="Arial"/>
          <w:sz w:val="18"/>
          <w:szCs w:val="18"/>
          <w:color w:val="auto"/>
        </w:rPr>
        <w:t>The rules of the SEC require us to disclose the identity of directors and executive officers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2009, or fiscal 2009.</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ONE—ELECTION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234" w:lineRule="exact"/>
        <w:rPr>
          <w:sz w:val="20"/>
          <w:szCs w:val="20"/>
          <w:color w:val="auto"/>
        </w:rPr>
      </w:pPr>
    </w:p>
    <w:p>
      <w:pPr>
        <w:ind w:right="20" w:firstLine="391"/>
        <w:spacing w:after="0" w:line="23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12 directors. Our Board currently is comprised of 10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jc w:val="center"/>
              <w:ind w:right="112"/>
              <w:spacing w:after="0"/>
              <w:rPr>
                <w:sz w:val="20"/>
                <w:szCs w:val="20"/>
                <w:color w:val="auto"/>
              </w:rPr>
            </w:pPr>
            <w:r>
              <w:rPr>
                <w:rFonts w:ascii="Arial" w:cs="Arial" w:eastAsia="Arial" w:hAnsi="Arial"/>
                <w:sz w:val="18"/>
                <w:szCs w:val="18"/>
                <w:b w:val="1"/>
                <w:bCs w:val="1"/>
                <w:color w:val="auto"/>
                <w:w w:val="96"/>
              </w:rPr>
              <w:t>Current Term Ending at</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740" w:type="dxa"/>
            <w:vAlign w:val="bottom"/>
          </w:tcPr>
          <w:p>
            <w:pPr>
              <w:jc w:val="center"/>
              <w:ind w:left="132"/>
              <w:spacing w:after="0"/>
              <w:rPr>
                <w:sz w:val="20"/>
                <w:szCs w:val="20"/>
                <w:color w:val="auto"/>
              </w:rPr>
            </w:pPr>
            <w:r>
              <w:rPr>
                <w:rFonts w:ascii="Arial" w:cs="Arial" w:eastAsia="Arial" w:hAnsi="Arial"/>
                <w:sz w:val="18"/>
                <w:szCs w:val="18"/>
                <w:b w:val="1"/>
                <w:bCs w:val="1"/>
                <w:color w:val="auto"/>
                <w:w w:val="97"/>
              </w:rPr>
              <w:t>Current Term Ending at</w:t>
            </w:r>
          </w:p>
        </w:tc>
      </w:tr>
      <w:tr>
        <w:trPr>
          <w:trHeight w:val="242"/>
        </w:trPr>
        <w:tc>
          <w:tcPr>
            <w:tcW w:w="374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7"/>
              </w:rPr>
              <w:t>2010 Annual Meeting</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2011 Annual Meeting</w:t>
            </w:r>
          </w:p>
        </w:tc>
        <w:tc>
          <w:tcPr>
            <w:tcW w:w="37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98"/>
              </w:rPr>
              <w:t>2012 Annual Meeting</w:t>
            </w:r>
          </w:p>
        </w:tc>
      </w:tr>
      <w:tr>
        <w:trPr>
          <w:trHeight w:val="206"/>
        </w:trPr>
        <w:tc>
          <w:tcPr>
            <w:tcW w:w="3740" w:type="dxa"/>
            <w:vAlign w:val="bottom"/>
          </w:tcPr>
          <w:p>
            <w:pPr>
              <w:jc w:val="center"/>
              <w:ind w:right="112"/>
              <w:spacing w:after="0" w:line="206" w:lineRule="exact"/>
              <w:rPr>
                <w:sz w:val="20"/>
                <w:szCs w:val="20"/>
                <w:color w:val="auto"/>
              </w:rPr>
            </w:pPr>
            <w:r>
              <w:rPr>
                <w:rFonts w:ascii="Arial" w:cs="Arial" w:eastAsia="Arial" w:hAnsi="Arial"/>
                <w:sz w:val="18"/>
                <w:szCs w:val="18"/>
                <w:color w:val="auto"/>
                <w:w w:val="97"/>
              </w:rPr>
              <w:t>Robert C. Buhrmaster</w:t>
            </w:r>
          </w:p>
        </w:tc>
        <w:tc>
          <w:tcPr>
            <w:tcW w:w="3940" w:type="dxa"/>
            <w:vAlign w:val="bottom"/>
          </w:tcPr>
          <w:p>
            <w:pPr>
              <w:jc w:val="center"/>
              <w:spacing w:after="0" w:line="206" w:lineRule="exact"/>
              <w:rPr>
                <w:sz w:val="20"/>
                <w:szCs w:val="20"/>
                <w:color w:val="auto"/>
              </w:rPr>
            </w:pPr>
            <w:r>
              <w:rPr>
                <w:rFonts w:ascii="Arial" w:cs="Arial" w:eastAsia="Arial" w:hAnsi="Arial"/>
                <w:sz w:val="18"/>
                <w:szCs w:val="18"/>
                <w:color w:val="auto"/>
                <w:w w:val="97"/>
              </w:rPr>
              <w:t>Katherine J. Harless</w:t>
            </w:r>
          </w:p>
        </w:tc>
        <w:tc>
          <w:tcPr>
            <w:tcW w:w="3740" w:type="dxa"/>
            <w:vAlign w:val="bottom"/>
          </w:tcPr>
          <w:p>
            <w:pPr>
              <w:jc w:val="center"/>
              <w:ind w:left="132"/>
              <w:spacing w:after="0" w:line="206" w:lineRule="exact"/>
              <w:rPr>
                <w:sz w:val="20"/>
                <w:szCs w:val="20"/>
                <w:color w:val="auto"/>
              </w:rPr>
            </w:pPr>
            <w:r>
              <w:rPr>
                <w:rFonts w:ascii="Arial" w:cs="Arial" w:eastAsia="Arial" w:hAnsi="Arial"/>
                <w:sz w:val="18"/>
                <w:szCs w:val="18"/>
                <w:color w:val="auto"/>
                <w:w w:val="98"/>
              </w:rPr>
              <w:t>Janet K. Cooper</w:t>
            </w:r>
          </w:p>
        </w:tc>
      </w:tr>
      <w:tr>
        <w:trPr>
          <w:trHeight w:val="203"/>
        </w:trPr>
        <w:tc>
          <w:tcPr>
            <w:tcW w:w="3740" w:type="dxa"/>
            <w:vAlign w:val="bottom"/>
          </w:tcPr>
          <w:p>
            <w:pPr>
              <w:jc w:val="center"/>
              <w:ind w:right="112"/>
              <w:spacing w:after="0" w:line="202" w:lineRule="exact"/>
              <w:rPr>
                <w:sz w:val="20"/>
                <w:szCs w:val="20"/>
                <w:color w:val="auto"/>
              </w:rPr>
            </w:pPr>
            <w:r>
              <w:rPr>
                <w:rFonts w:ascii="Arial" w:cs="Arial" w:eastAsia="Arial" w:hAnsi="Arial"/>
                <w:sz w:val="18"/>
                <w:szCs w:val="18"/>
                <w:color w:val="auto"/>
                <w:w w:val="96"/>
              </w:rPr>
              <w:t>Winslow H. Buxton</w:t>
            </w:r>
          </w:p>
        </w:tc>
        <w:tc>
          <w:tcPr>
            <w:tcW w:w="3940" w:type="dxa"/>
            <w:vAlign w:val="bottom"/>
          </w:tcPr>
          <w:p>
            <w:pPr>
              <w:jc w:val="center"/>
              <w:spacing w:after="0" w:line="202" w:lineRule="exact"/>
              <w:rPr>
                <w:sz w:val="20"/>
                <w:szCs w:val="20"/>
                <w:color w:val="auto"/>
              </w:rPr>
            </w:pPr>
            <w:r>
              <w:rPr>
                <w:rFonts w:ascii="Arial" w:cs="Arial" w:eastAsia="Arial" w:hAnsi="Arial"/>
                <w:sz w:val="18"/>
                <w:szCs w:val="18"/>
                <w:color w:val="auto"/>
                <w:w w:val="97"/>
              </w:rPr>
              <w:t>Michael J. Hoffman</w:t>
            </w:r>
          </w:p>
        </w:tc>
        <w:tc>
          <w:tcPr>
            <w:tcW w:w="374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8"/>
              </w:rPr>
              <w:t>Gary L. Ellis</w:t>
            </w:r>
          </w:p>
        </w:tc>
      </w:tr>
      <w:tr>
        <w:trPr>
          <w:trHeight w:val="203"/>
        </w:trPr>
        <w:tc>
          <w:tcPr>
            <w:tcW w:w="3740" w:type="dxa"/>
            <w:vAlign w:val="bottom"/>
          </w:tcPr>
          <w:p>
            <w:pPr>
              <w:jc w:val="center"/>
              <w:ind w:right="112"/>
              <w:spacing w:after="0" w:line="202" w:lineRule="exact"/>
              <w:rPr>
                <w:sz w:val="20"/>
                <w:szCs w:val="20"/>
                <w:color w:val="auto"/>
              </w:rPr>
            </w:pPr>
            <w:r>
              <w:rPr>
                <w:rFonts w:ascii="Arial" w:cs="Arial" w:eastAsia="Arial" w:hAnsi="Arial"/>
                <w:sz w:val="18"/>
                <w:szCs w:val="18"/>
                <w:color w:val="auto"/>
                <w:w w:val="96"/>
              </w:rPr>
              <w:t>Robert H. Nassau</w:t>
            </w:r>
          </w:p>
        </w:tc>
        <w:tc>
          <w:tcPr>
            <w:tcW w:w="3940" w:type="dxa"/>
            <w:vAlign w:val="bottom"/>
          </w:tcPr>
          <w:p>
            <w:pPr>
              <w:jc w:val="center"/>
              <w:spacing w:after="0" w:line="202" w:lineRule="exact"/>
              <w:rPr>
                <w:sz w:val="20"/>
                <w:szCs w:val="20"/>
                <w:color w:val="auto"/>
              </w:rPr>
            </w:pPr>
            <w:r>
              <w:rPr>
                <w:rFonts w:ascii="Arial" w:cs="Arial" w:eastAsia="Arial" w:hAnsi="Arial"/>
                <w:sz w:val="18"/>
                <w:szCs w:val="18"/>
                <w:color w:val="auto"/>
                <w:w w:val="97"/>
              </w:rPr>
              <w:t>Inge G. Thulin</w:t>
            </w:r>
          </w:p>
        </w:tc>
        <w:tc>
          <w:tcPr>
            <w:tcW w:w="374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6"/>
              </w:rPr>
              <w:t>Gregg W. Steinhafel</w:t>
            </w:r>
          </w:p>
        </w:tc>
      </w:tr>
      <w:tr>
        <w:trPr>
          <w:trHeight w:val="211"/>
        </w:trPr>
        <w:tc>
          <w:tcPr>
            <w:tcW w:w="3740" w:type="dxa"/>
            <w:vAlign w:val="bottom"/>
          </w:tcPr>
          <w:p>
            <w:pPr>
              <w:jc w:val="center"/>
              <w:ind w:right="112"/>
              <w:spacing w:after="0"/>
              <w:rPr>
                <w:sz w:val="20"/>
                <w:szCs w:val="20"/>
                <w:color w:val="auto"/>
              </w:rPr>
            </w:pPr>
            <w:r>
              <w:rPr>
                <w:rFonts w:ascii="Arial" w:cs="Arial" w:eastAsia="Arial" w:hAnsi="Arial"/>
                <w:sz w:val="18"/>
                <w:szCs w:val="18"/>
                <w:color w:val="auto"/>
                <w:w w:val="96"/>
              </w:rPr>
              <w:t>Christopher A. Twomey</w:t>
            </w:r>
          </w:p>
        </w:tc>
        <w:tc>
          <w:tcPr>
            <w:tcW w:w="3940" w:type="dxa"/>
            <w:vAlign w:val="bottom"/>
          </w:tcPr>
          <w:p>
            <w:pPr>
              <w:spacing w:after="0"/>
              <w:rPr>
                <w:sz w:val="18"/>
                <w:szCs w:val="18"/>
                <w:color w:val="auto"/>
              </w:rPr>
            </w:pPr>
          </w:p>
        </w:tc>
        <w:tc>
          <w:tcPr>
            <w:tcW w:w="3740" w:type="dxa"/>
            <w:vAlign w:val="bottom"/>
          </w:tcPr>
          <w:p>
            <w:pPr>
              <w:spacing w:after="0"/>
              <w:rPr>
                <w:sz w:val="18"/>
                <w:szCs w:val="18"/>
                <w:color w:val="auto"/>
              </w:rPr>
            </w:pPr>
          </w:p>
        </w:tc>
      </w:tr>
    </w:tbl>
    <w:p>
      <w:pPr>
        <w:spacing w:after="0" w:line="208" w:lineRule="exact"/>
        <w:rPr>
          <w:sz w:val="20"/>
          <w:szCs w:val="20"/>
          <w:color w:val="auto"/>
        </w:rPr>
      </w:pPr>
    </w:p>
    <w:p>
      <w:pPr>
        <w:ind w:right="80" w:firstLine="387"/>
        <w:spacing w:after="0" w:line="236" w:lineRule="auto"/>
        <w:rPr>
          <w:sz w:val="20"/>
          <w:szCs w:val="20"/>
          <w:color w:val="auto"/>
        </w:rPr>
      </w:pPr>
      <w:r>
        <w:rPr>
          <w:rFonts w:ascii="Arial" w:cs="Arial" w:eastAsia="Arial" w:hAnsi="Arial"/>
          <w:sz w:val="18"/>
          <w:szCs w:val="18"/>
          <w:color w:val="auto"/>
        </w:rPr>
        <w:t>The Board has nominated each of Robert C. Buhrmaster, Robert H. Nassau and Christopher A. Twomey for election to the Board to serve for a three-year term ending at the 2013 Annual Meeting. In connection with obtaining the age of 70, as recommended by our Corporate Governance Guidelines, Winslow H. Buxton volunteered not to be nominated for re-election to the Board and will retire from the Board upon expiration of his three-year term at the annual meeting. Mr. Buxton served as a director of the Company for 12 years and the Board wishes to thank him for his many years of dedicated service to the Company. In light of the retirement of Mr. Buxton, the Board will be comprised of nine directors effective immediately prior to the annual meeting.</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4" w:lineRule="exact"/>
        <w:rPr>
          <w:sz w:val="20"/>
          <w:szCs w:val="20"/>
          <w:color w:val="auto"/>
        </w:rPr>
      </w:pPr>
    </w:p>
    <w:p>
      <w:pPr>
        <w:ind w:right="220" w:firstLine="387"/>
        <w:spacing w:after="0" w:line="238" w:lineRule="auto"/>
        <w:rPr>
          <w:sz w:val="20"/>
          <w:szCs w:val="20"/>
          <w:color w:val="auto"/>
        </w:rPr>
      </w:pPr>
      <w:r>
        <w:rPr>
          <w:rFonts w:ascii="Arial" w:cs="Arial" w:eastAsia="Arial" w:hAnsi="Arial"/>
          <w:sz w:val="18"/>
          <w:szCs w:val="18"/>
          <w:color w:val="auto"/>
        </w:rPr>
        <w:t>The three nominees for election to the Board to serve for a three-year term ending at the 2013 Annual Meeting are Robert C. Buhrmaster, Robert H. Nassau and Christopher A. Twomey. Each of these nominees is a current member of the Board and has consented to serve if elected. Proxies only can be voted for the number of persons named as nominees in this proxy statement, which is three.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234" w:lineRule="exact"/>
        <w:rPr>
          <w:sz w:val="20"/>
          <w:szCs w:val="20"/>
          <w:color w:val="auto"/>
        </w:rPr>
      </w:pPr>
    </w:p>
    <w:p>
      <w:pPr>
        <w:ind w:right="20" w:firstLine="391"/>
        <w:spacing w:after="0" w:line="237"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234" w:lineRule="exact"/>
        <w:rPr>
          <w:sz w:val="20"/>
          <w:szCs w:val="20"/>
          <w:color w:val="auto"/>
        </w:rPr>
      </w:pPr>
    </w:p>
    <w:p>
      <w:pPr>
        <w:ind w:right="220" w:firstLine="387"/>
        <w:spacing w:after="0" w:line="239" w:lineRule="auto"/>
        <w:rPr>
          <w:sz w:val="20"/>
          <w:szCs w:val="20"/>
          <w:color w:val="auto"/>
        </w:rPr>
      </w:pPr>
      <w:r>
        <w:rPr>
          <w:rFonts w:ascii="Arial" w:cs="Arial" w:eastAsia="Arial" w:hAnsi="Arial"/>
          <w:sz w:val="18"/>
          <w:szCs w:val="18"/>
          <w:color w:val="auto"/>
        </w:rPr>
        <w:t>The following information with respect to the business experience of nominees for election to the Board and the members of the Board who will continue to serve as our directors has been furnished by the nominee or director or obtained from our records.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Nominees for Election to the Board—Current Term Ending at the 2010 Annual Meeting</w:t>
      </w:r>
    </w:p>
    <w:p>
      <w:pPr>
        <w:spacing w:after="0" w:line="212" w:lineRule="exact"/>
        <w:rPr>
          <w:sz w:val="20"/>
          <w:szCs w:val="20"/>
          <w:color w:val="auto"/>
        </w:rPr>
      </w:pPr>
    </w:p>
    <w:p>
      <w:pPr>
        <w:ind w:right="60" w:firstLine="391"/>
        <w:spacing w:after="0" w:line="242" w:lineRule="auto"/>
        <w:rPr>
          <w:sz w:val="20"/>
          <w:szCs w:val="20"/>
          <w:color w:val="auto"/>
        </w:rPr>
      </w:pPr>
      <w:r>
        <w:rPr>
          <w:rFonts w:ascii="Arial" w:cs="Arial" w:eastAsia="Arial" w:hAnsi="Arial"/>
          <w:sz w:val="18"/>
          <w:szCs w:val="18"/>
          <w:b w:val="1"/>
          <w:bCs w:val="1"/>
          <w:color w:val="auto"/>
        </w:rPr>
        <w:t xml:space="preserve">Robert C. Buhrmaster, age 62. </w:t>
      </w:r>
      <w:r>
        <w:rPr>
          <w:rFonts w:ascii="Arial" w:cs="Arial" w:eastAsia="Arial" w:hAnsi="Arial"/>
          <w:sz w:val="18"/>
          <w:szCs w:val="18"/>
          <w:color w:val="auto"/>
        </w:rPr>
        <w:t>Retired since 2004. Chairman of Jostens, Inc., Minneapolis, Minnesota (consumer manufacturing),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1998 to 2004 and Chief Executive Officer from 1994 to 2004. From 1994 to January 2003, he also served as President of Jostens, Inc. First elected to the Toro Board in 1996, he is a member of the Audit Committee, the Nominating &amp; Governance Committee, the Finance Committee and the Executive Committee and serves as our presiding non-management director. Mr. Buhrmaster is a director and Chairman of the Board of SurModics Inc. (SRDX).</w:t>
      </w:r>
    </w:p>
    <w:p>
      <w:pPr>
        <w:spacing w:after="0" w:line="185" w:lineRule="exact"/>
        <w:rPr>
          <w:sz w:val="20"/>
          <w:szCs w:val="20"/>
          <w:color w:val="auto"/>
        </w:rPr>
      </w:pPr>
    </w:p>
    <w:p>
      <w:pPr>
        <w:ind w:right="80" w:firstLine="391"/>
        <w:spacing w:after="0" w:line="244" w:lineRule="auto"/>
        <w:rPr>
          <w:sz w:val="20"/>
          <w:szCs w:val="20"/>
          <w:color w:val="auto"/>
        </w:rPr>
      </w:pPr>
      <w:r>
        <w:rPr>
          <w:rFonts w:ascii="Arial" w:cs="Arial" w:eastAsia="Arial" w:hAnsi="Arial"/>
          <w:sz w:val="18"/>
          <w:szCs w:val="18"/>
          <w:b w:val="1"/>
          <w:bCs w:val="1"/>
          <w:color w:val="auto"/>
        </w:rPr>
        <w:t xml:space="preserve">Robert H. Nassau, age 68. </w:t>
      </w:r>
      <w:r>
        <w:rPr>
          <w:rFonts w:ascii="Arial" w:cs="Arial" w:eastAsia="Arial" w:hAnsi="Arial"/>
          <w:sz w:val="18"/>
          <w:szCs w:val="18"/>
          <w:color w:val="auto"/>
        </w:rPr>
        <w:t>Retired since 2006. Regional Director of Corporate Accounts of F2 Intelligence Group, Minneapolis, Minnesota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from November 2003 to November 2006. Owner and Chief Executive Officer of Nasly Inc., Lahaina, Hawaii, from February 2000 to November 2003. First elected to the Toro Board in 1988, he is a member of the Audit Committee, the Compensation &amp; Human Resources Committee and the Nominating &amp; Governance Committee.</w:t>
      </w:r>
    </w:p>
    <w:p>
      <w:pPr>
        <w:spacing w:after="0" w:line="185" w:lineRule="exact"/>
        <w:rPr>
          <w:sz w:val="20"/>
          <w:szCs w:val="20"/>
          <w:color w:val="auto"/>
        </w:rPr>
      </w:pPr>
    </w:p>
    <w:p>
      <w:pPr>
        <w:ind w:right="440" w:firstLine="391"/>
        <w:spacing w:after="0" w:line="244" w:lineRule="auto"/>
        <w:rPr>
          <w:sz w:val="20"/>
          <w:szCs w:val="20"/>
          <w:color w:val="auto"/>
        </w:rPr>
      </w:pPr>
      <w:r>
        <w:rPr>
          <w:rFonts w:ascii="Arial" w:cs="Arial" w:eastAsia="Arial" w:hAnsi="Arial"/>
          <w:sz w:val="18"/>
          <w:szCs w:val="18"/>
          <w:b w:val="1"/>
          <w:bCs w:val="1"/>
          <w:color w:val="auto"/>
        </w:rPr>
        <w:t xml:space="preserve">Christopher A. Twomey, age 61. </w:t>
      </w:r>
      <w:r>
        <w:rPr>
          <w:rFonts w:ascii="Arial" w:cs="Arial" w:eastAsia="Arial" w:hAnsi="Arial"/>
          <w:sz w:val="18"/>
          <w:szCs w:val="18"/>
          <w:color w:val="auto"/>
        </w:rPr>
        <w:t>Chairman of Arctic Cat Inc., Thief River Falls, Minnesota (recreational vehicle manufacturer),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2003 and Chief Executive Officer since 1986. First elected to the Toro Board in 1998, he is the Chair of the Compensation &amp; Human Resources Committee and a member of the Nominating &amp; Governance Committee and the Executive Committee. Mr. Twomey is a director of Arctic Cat Inc. (ACAT).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Continuing Members of the Board—Current Term Ending at the 2011 Annual Meeting</w:t>
      </w:r>
    </w:p>
    <w:p>
      <w:pPr>
        <w:spacing w:after="0" w:line="212" w:lineRule="exact"/>
        <w:rPr>
          <w:sz w:val="20"/>
          <w:szCs w:val="20"/>
          <w:color w:val="auto"/>
        </w:rPr>
      </w:pPr>
    </w:p>
    <w:p>
      <w:pPr>
        <w:ind w:firstLine="391"/>
        <w:spacing w:after="0" w:line="239" w:lineRule="auto"/>
        <w:rPr>
          <w:sz w:val="20"/>
          <w:szCs w:val="20"/>
          <w:color w:val="auto"/>
        </w:rPr>
      </w:pPr>
      <w:r>
        <w:rPr>
          <w:rFonts w:ascii="Arial" w:cs="Arial" w:eastAsia="Arial" w:hAnsi="Arial"/>
          <w:sz w:val="18"/>
          <w:szCs w:val="18"/>
          <w:b w:val="1"/>
          <w:bCs w:val="1"/>
          <w:color w:val="auto"/>
        </w:rPr>
        <w:t xml:space="preserve">Katherine J. Harless, age 58. </w:t>
      </w:r>
      <w:r>
        <w:rPr>
          <w:rFonts w:ascii="Arial" w:cs="Arial" w:eastAsia="Arial" w:hAnsi="Arial"/>
          <w:sz w:val="18"/>
          <w:szCs w:val="18"/>
          <w:color w:val="auto"/>
        </w:rPr>
        <w:t>Former President and Chief Executive Officer of Idearc Inc., Dallas/Fort Worth, Texas (publisher of Verizon</w:t>
      </w:r>
      <w:r>
        <w:rPr>
          <w:rFonts w:ascii="Arial" w:cs="Arial" w:eastAsia="Arial" w:hAnsi="Arial"/>
          <w:sz w:val="18"/>
          <w:szCs w:val="18"/>
          <w:b w:val="1"/>
          <w:bCs w:val="1"/>
          <w:color w:val="auto"/>
        </w:rPr>
        <w:t xml:space="preserve"> </w:t>
      </w:r>
      <w:r>
        <w:rPr>
          <w:rFonts w:ascii="Arial" w:cs="Arial" w:eastAsia="Arial" w:hAnsi="Arial"/>
          <w:sz w:val="18"/>
          <w:szCs w:val="18"/>
          <w:color w:val="auto"/>
        </w:rPr>
        <w:t>Yellow Pages and SuperPages.com), serving from November 2006 to February 2008. On March 31, 2009, Idearc Inc. and all of its domestic subsidiaries filed voluntary petitions in the United States Bankruptcy Court for the Northern District of Texas, Dallas Division seeking reorganization relief under the provisions of Chapter 11 of Title 11 of the United States Bankruptcy Code. On December 31, 2009, Idearc Inc. emerged from the Chapter 11 bankruptcy proceedings and under its plan of reorganization has, among other things, changed its name to SuperMedia Inc. and begun trading on the NASDAQ Global Market under the symbol "SPMD." President of Verizon Information Services Inc. from 2000 to November 2006. First elected to the Toro Board in 2000, she is a member of the Compensation &amp; Human Resources Committee and the Nominating &amp; Governance Committee.</w:t>
      </w:r>
    </w:p>
    <w:p>
      <w:pPr>
        <w:spacing w:after="0" w:line="188" w:lineRule="exact"/>
        <w:rPr>
          <w:sz w:val="20"/>
          <w:szCs w:val="20"/>
          <w:color w:val="auto"/>
        </w:rPr>
      </w:pPr>
    </w:p>
    <w:p>
      <w:pPr>
        <w:ind w:right="280" w:firstLine="391"/>
        <w:spacing w:after="0" w:line="264" w:lineRule="auto"/>
        <w:rPr>
          <w:sz w:val="20"/>
          <w:szCs w:val="20"/>
          <w:color w:val="auto"/>
        </w:rPr>
      </w:pPr>
      <w:r>
        <w:rPr>
          <w:rFonts w:ascii="Arial" w:cs="Arial" w:eastAsia="Arial" w:hAnsi="Arial"/>
          <w:sz w:val="18"/>
          <w:szCs w:val="18"/>
          <w:b w:val="1"/>
          <w:bCs w:val="1"/>
          <w:color w:val="auto"/>
        </w:rPr>
        <w:t xml:space="preserve">Michael J. Hoffman, age 54. </w:t>
      </w:r>
      <w:r>
        <w:rPr>
          <w:rFonts w:ascii="Arial" w:cs="Arial" w:eastAsia="Arial" w:hAnsi="Arial"/>
          <w:sz w:val="18"/>
          <w:szCs w:val="18"/>
          <w:color w:val="auto"/>
        </w:rPr>
        <w:t>Chairman of the Board of Toro since March 2006, Chief Executive Officer since March 2005 and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since October 2004. He also served as Chief Operating Officer from October 2004 to March 2005. First elected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Toro Board in March 2005, he is the Chair of the Executive Committee and a member of the Finance Committee. Mr. Hoffman is a director of Donaldson Company, Inc. (DCI).</w:t>
      </w:r>
    </w:p>
    <w:p>
      <w:pPr>
        <w:spacing w:after="0" w:line="187" w:lineRule="exact"/>
        <w:rPr>
          <w:sz w:val="20"/>
          <w:szCs w:val="20"/>
          <w:color w:val="auto"/>
        </w:rPr>
      </w:pPr>
    </w:p>
    <w:p>
      <w:pPr>
        <w:jc w:val="both"/>
        <w:ind w:right="280" w:firstLine="391"/>
        <w:spacing w:after="0" w:line="244" w:lineRule="auto"/>
        <w:rPr>
          <w:sz w:val="20"/>
          <w:szCs w:val="20"/>
          <w:color w:val="auto"/>
        </w:rPr>
      </w:pPr>
      <w:r>
        <w:rPr>
          <w:rFonts w:ascii="Arial" w:cs="Arial" w:eastAsia="Arial" w:hAnsi="Arial"/>
          <w:sz w:val="18"/>
          <w:szCs w:val="18"/>
          <w:b w:val="1"/>
          <w:bCs w:val="1"/>
          <w:color w:val="auto"/>
        </w:rPr>
        <w:t xml:space="preserve">Inge G. Thulin, age 55. </w:t>
      </w:r>
      <w:r>
        <w:rPr>
          <w:rFonts w:ascii="Arial" w:cs="Arial" w:eastAsia="Arial" w:hAnsi="Arial"/>
          <w:sz w:val="18"/>
          <w:szCs w:val="18"/>
          <w:color w:val="auto"/>
        </w:rPr>
        <w:t>Executive Vice President, International Operations of 3M, Saint Paul, Minnesota (diversified technology),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2003. Area Vice President, Asia Pacific for 3M from 2003 to 2004 and Area Vice President, Europe, Central/East Europe &amp; Middle East for 3M from 2002 to 2003. First elected to the Toro Board in September 2008, he is a member of the Audit Committee, the Finance Committee and the Executive Committee.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Continuing Members of the Board—Current Term Ending at the 2012 Annual Meeting</w:t>
      </w:r>
    </w:p>
    <w:p>
      <w:pPr>
        <w:spacing w:after="0" w:line="212" w:lineRule="exact"/>
        <w:rPr>
          <w:sz w:val="20"/>
          <w:szCs w:val="20"/>
          <w:color w:val="auto"/>
        </w:rPr>
      </w:pPr>
    </w:p>
    <w:p>
      <w:pPr>
        <w:ind w:firstLine="391"/>
        <w:spacing w:after="0" w:line="244" w:lineRule="auto"/>
        <w:rPr>
          <w:sz w:val="20"/>
          <w:szCs w:val="20"/>
          <w:color w:val="auto"/>
        </w:rPr>
      </w:pPr>
      <w:r>
        <w:rPr>
          <w:rFonts w:ascii="Arial" w:cs="Arial" w:eastAsia="Arial" w:hAnsi="Arial"/>
          <w:sz w:val="18"/>
          <w:szCs w:val="18"/>
          <w:b w:val="1"/>
          <w:bCs w:val="1"/>
          <w:color w:val="auto"/>
        </w:rPr>
        <w:t xml:space="preserve">Janet K. Cooper, age 56. </w:t>
      </w:r>
      <w:r>
        <w:rPr>
          <w:rFonts w:ascii="Arial" w:cs="Arial" w:eastAsia="Arial" w:hAnsi="Arial"/>
          <w:sz w:val="18"/>
          <w:szCs w:val="18"/>
          <w:color w:val="auto"/>
        </w:rPr>
        <w:t>Former Senior Vice President and Treasurer of Qwest Communications International Inc., Denver, Colorado</w:t>
      </w:r>
      <w:r>
        <w:rPr>
          <w:rFonts w:ascii="Arial" w:cs="Arial" w:eastAsia="Arial" w:hAnsi="Arial"/>
          <w:sz w:val="18"/>
          <w:szCs w:val="18"/>
          <w:b w:val="1"/>
          <w:bCs w:val="1"/>
          <w:color w:val="auto"/>
        </w:rPr>
        <w:t xml:space="preserve"> </w:t>
      </w:r>
      <w:r>
        <w:rPr>
          <w:rFonts w:ascii="Arial" w:cs="Arial" w:eastAsia="Arial" w:hAnsi="Arial"/>
          <w:sz w:val="18"/>
          <w:szCs w:val="18"/>
          <w:color w:val="auto"/>
        </w:rPr>
        <w:t>(telecommunications), serving from September 2002 to June 2008. First elected to the Toro Board in 1994, she is the Chair of the Audit Committee and a member of the Finance Committee. Ms. Cooper is a director of Lennox International Inc. (LII) and MWH Global, a private firm that provides environmental engineering, construction and strategic consulting services worldwide.</w:t>
      </w:r>
    </w:p>
    <w:p>
      <w:pPr>
        <w:spacing w:after="0" w:line="185" w:lineRule="exact"/>
        <w:rPr>
          <w:sz w:val="20"/>
          <w:szCs w:val="20"/>
          <w:color w:val="auto"/>
        </w:rPr>
      </w:pPr>
    </w:p>
    <w:p>
      <w:pPr>
        <w:ind w:right="120" w:firstLine="391"/>
        <w:spacing w:after="0" w:line="296" w:lineRule="auto"/>
        <w:rPr>
          <w:sz w:val="20"/>
          <w:szCs w:val="20"/>
          <w:color w:val="auto"/>
        </w:rPr>
      </w:pPr>
      <w:r>
        <w:rPr>
          <w:rFonts w:ascii="Arial" w:cs="Arial" w:eastAsia="Arial" w:hAnsi="Arial"/>
          <w:sz w:val="16"/>
          <w:szCs w:val="16"/>
          <w:b w:val="1"/>
          <w:bCs w:val="1"/>
          <w:color w:val="auto"/>
        </w:rPr>
        <w:t xml:space="preserve">Gary L. Ellis, age 53. </w:t>
      </w:r>
      <w:r>
        <w:rPr>
          <w:rFonts w:ascii="Arial" w:cs="Arial" w:eastAsia="Arial" w:hAnsi="Arial"/>
          <w:sz w:val="16"/>
          <w:szCs w:val="16"/>
          <w:color w:val="auto"/>
        </w:rPr>
        <w:t>Senior Vice President and Chief Financial Officer of Medtronic, Inc., Minneapolis, Minnesota (medical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May 2005. From 1999 to May 2005, he served as Vice President, Corporate Controller and Treasurer of Medtronic. First elected to the Toro Board in 2006, he is the Chair of the Finance Committee and a member of the Audit Committee and the Executive Committee.</w:t>
      </w:r>
    </w:p>
    <w:p>
      <w:pPr>
        <w:spacing w:after="0" w:line="143" w:lineRule="exact"/>
        <w:rPr>
          <w:sz w:val="20"/>
          <w:szCs w:val="20"/>
          <w:color w:val="auto"/>
        </w:rPr>
      </w:pPr>
    </w:p>
    <w:p>
      <w:pPr>
        <w:ind w:right="40" w:firstLine="391"/>
        <w:spacing w:after="0" w:line="244" w:lineRule="auto"/>
        <w:rPr>
          <w:sz w:val="20"/>
          <w:szCs w:val="20"/>
          <w:color w:val="auto"/>
        </w:rPr>
      </w:pPr>
      <w:r>
        <w:rPr>
          <w:rFonts w:ascii="Arial" w:cs="Arial" w:eastAsia="Arial" w:hAnsi="Arial"/>
          <w:sz w:val="18"/>
          <w:szCs w:val="18"/>
          <w:b w:val="1"/>
          <w:bCs w:val="1"/>
          <w:color w:val="auto"/>
        </w:rPr>
        <w:t xml:space="preserve">Gregg W. Steinhafel, age 55. </w:t>
      </w:r>
      <w:r>
        <w:rPr>
          <w:rFonts w:ascii="Arial" w:cs="Arial" w:eastAsia="Arial" w:hAnsi="Arial"/>
          <w:sz w:val="18"/>
          <w:szCs w:val="18"/>
          <w:color w:val="auto"/>
        </w:rPr>
        <w:t>Chairman of the Board of Target Corporation, Minneapolis, Minnesota (retailing), since February 2009,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since May 2008 and President since 1999. First elected to the Toro Board in 1999, he is a member of the Compensation &amp; Human Resources Committee, the Nominating &amp; Governance Committee and the Executive Committee. Mr. Steinhafel is a director of Target Corporation (TGT).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4" w:lineRule="exact"/>
        <w:rPr>
          <w:sz w:val="20"/>
          <w:szCs w:val="20"/>
          <w:color w:val="auto"/>
        </w:rPr>
      </w:pPr>
    </w:p>
    <w:p>
      <w:pPr>
        <w:ind w:right="180" w:firstLine="387"/>
        <w:spacing w:after="0" w:line="275" w:lineRule="auto"/>
        <w:rPr>
          <w:sz w:val="20"/>
          <w:szCs w:val="20"/>
          <w:color w:val="auto"/>
        </w:rPr>
      </w:pPr>
      <w:r>
        <w:rPr>
          <w:rFonts w:ascii="Arial" w:cs="Arial" w:eastAsia="Arial" w:hAnsi="Arial"/>
          <w:sz w:val="16"/>
          <w:szCs w:val="16"/>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responsibilities, compensation and independence; Board committees; director access to officers and employees; related party transactions; CEO evaluation and succession; and annual performance evaluations. Our Corporate Governance Guidelines provide, among other things, that:</w:t>
      </w:r>
    </w:p>
    <w:p>
      <w:pPr>
        <w:spacing w:after="0" w:line="18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law, the SEC and the NYSE.</w:t>
      </w:r>
    </w:p>
    <w:p>
      <w:pPr>
        <w:spacing w:after="0" w:line="211" w:lineRule="exact"/>
        <w:rPr>
          <w:rFonts w:ascii="Arial" w:cs="Arial" w:eastAsia="Arial" w:hAnsi="Arial"/>
          <w:sz w:val="18"/>
          <w:szCs w:val="18"/>
          <w:color w:val="auto"/>
        </w:rPr>
      </w:pPr>
    </w:p>
    <w:p>
      <w:pPr>
        <w:jc w:val="both"/>
        <w:ind w:left="1080" w:right="520" w:hanging="532"/>
        <w:spacing w:after="0" w:line="23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their resignation in writing to provide an opportunity for the Board, through the Nominating &amp; Governance Committee, to review the continued appropriateness of Board membership under the circumstances.</w:t>
      </w:r>
    </w:p>
    <w:p>
      <w:pPr>
        <w:spacing w:after="0" w:line="194" w:lineRule="exact"/>
        <w:rPr>
          <w:rFonts w:ascii="Arial" w:cs="Arial" w:eastAsia="Arial" w:hAnsi="Arial"/>
          <w:sz w:val="18"/>
          <w:szCs w:val="18"/>
          <w:color w:val="auto"/>
        </w:rPr>
      </w:pPr>
    </w:p>
    <w:p>
      <w:pPr>
        <w:ind w:left="1080" w:right="34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195" w:lineRule="exact"/>
        <w:rPr>
          <w:rFonts w:ascii="Arial" w:cs="Arial" w:eastAsia="Arial" w:hAnsi="Arial"/>
          <w:sz w:val="18"/>
          <w:szCs w:val="18"/>
          <w:color w:val="auto"/>
        </w:rPr>
      </w:pPr>
    </w:p>
    <w:p>
      <w:pPr>
        <w:ind w:left="1080" w:right="100" w:hanging="532"/>
        <w:spacing w:after="0" w:line="299"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director who is an active full-time employee of the Company may serve as a director of more than two other publicly held companies and there may be no interlocking board memberships without the approval of the Nominating &amp; Governance Committee.</w:t>
      </w:r>
    </w:p>
    <w:p>
      <w:pPr>
        <w:spacing w:after="0" w:line="162" w:lineRule="exact"/>
        <w:rPr>
          <w:rFonts w:ascii="Arial" w:cs="Arial" w:eastAsia="Arial" w:hAnsi="Arial"/>
          <w:sz w:val="16"/>
          <w:szCs w:val="16"/>
          <w:color w:val="auto"/>
        </w:rPr>
      </w:pPr>
    </w:p>
    <w:p>
      <w:pPr>
        <w:ind w:left="1080" w:right="22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195" w:lineRule="exact"/>
        <w:rPr>
          <w:rFonts w:ascii="Arial" w:cs="Arial" w:eastAsia="Arial" w:hAnsi="Arial"/>
          <w:sz w:val="18"/>
          <w:szCs w:val="18"/>
          <w:color w:val="auto"/>
        </w:rPr>
      </w:pPr>
    </w:p>
    <w:p>
      <w:pPr>
        <w:ind w:left="1080" w:right="40" w:hanging="532"/>
        <w:spacing w:after="0" w:line="23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term limits, as term limits have the disadvantage of losing the contribution of directors who have been able to develop over time increasing insight into the Company and its operations and therefore provide an increasing contribution to the Board as a whole, the Nominating &amp; Governance Committee will review each director's continuation on the Board before the annual meeting at which a director is to be proposed for re-election.</w:t>
      </w:r>
    </w:p>
    <w:p>
      <w:pPr>
        <w:spacing w:after="0" w:line="195"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Within five years of joining the Board, each director is expected to own a dollar value of our common stock equal to at least two times the amount of the director's annual cash retainer for Board service.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19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firstLine="391"/>
        <w:spacing w:after="0" w:line="238" w:lineRule="auto"/>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4" w:lineRule="exact"/>
        <w:rPr>
          <w:sz w:val="20"/>
          <w:szCs w:val="20"/>
          <w:color w:val="auto"/>
        </w:rPr>
      </w:pPr>
    </w:p>
    <w:p>
      <w:pPr>
        <w:ind w:firstLine="387"/>
        <w:spacing w:after="0" w:line="266" w:lineRule="auto"/>
        <w:rPr>
          <w:sz w:val="20"/>
          <w:szCs w:val="20"/>
          <w:color w:val="auto"/>
        </w:rPr>
      </w:pPr>
      <w:r>
        <w:rPr>
          <w:rFonts w:ascii="Arial" w:cs="Arial" w:eastAsia="Arial" w:hAnsi="Arial"/>
          <w:sz w:val="16"/>
          <w:szCs w:val="16"/>
          <w:color w:val="auto"/>
        </w:rPr>
        <w:t>The Board, following consideration of all relevant facts and circumstances and upon recommendation of the Nominating &amp; Governance Committee, has affirmatively determined that each director who served as a member of our Board during fiscal 2009 (Robert C. Buhrmaster, Winslow H. Buxton, Gary L. Ellis, Janet K. Cooper, Katherine J. Harless, Robert H. Nassau, Gregg W. Steinhafel, Inge G. Thulin and Christopher A. Twomey), other than Michael J. Hoffman, our Chairman and CEO, is independent in that each such person has no material relationship with the Company, our Management or our independent registered public accounting firm, and otherwise meets the independence and other requirements of the listing standards of the NYSE, the rules and regulations of the SEC and applicable law. The Board determined that Michael J. Hoffman is not independent due to his status as an executive officer of the Company.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our business or the business of such unaffiliated corporation, and in which the director had no direct or indirect personal interest, nor received any personal benefit. Specifically, the pre-approved transactions reviewed by the Nominating &amp; Governance Committee and the Board included: (a) ordinary course of business purchases by the Company from 3M, where Mr. Thulin is, and during fiscal 2009 was, an executive officer, in the aggregate amount of approximately $27,000; (b) ordinary course of business purchases from the Company by Medtronic, Inc., where Mr. Ellis is, and during fiscal 2009 was, an executive officer, in the aggregate amount of approximately $4,750; and</w:t>
      </w:r>
    </w:p>
    <w:p>
      <w:pPr>
        <w:spacing w:after="0" w:line="184" w:lineRule="exact"/>
        <w:rPr>
          <w:sz w:val="20"/>
          <w:szCs w:val="20"/>
          <w:color w:val="auto"/>
        </w:rPr>
      </w:pPr>
    </w:p>
    <w:p>
      <w:pPr>
        <w:ind w:right="260" w:firstLine="8"/>
        <w:spacing w:after="0" w:line="238" w:lineRule="auto"/>
        <w:tabs>
          <w:tab w:leader="none" w:pos="2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ordinary course of business purchases by the Company from Target Corporation, where Mr. Steinhafel is, and during fiscal 2009 was, an executive officer, in the aggregate amount of approximately $19,400, and ordinary course of business purchases by Target Corporation from the Company in the aggregate amount of approximately $1.3 million.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Non-Management Director; Executive Sessions</w:t>
      </w:r>
    </w:p>
    <w:p>
      <w:pPr>
        <w:spacing w:after="0" w:line="234" w:lineRule="exact"/>
        <w:rPr>
          <w:sz w:val="20"/>
          <w:szCs w:val="20"/>
          <w:color w:val="auto"/>
        </w:rPr>
      </w:pPr>
    </w:p>
    <w:p>
      <w:pPr>
        <w:ind w:right="80" w:firstLine="391"/>
        <w:spacing w:after="0" w:line="238" w:lineRule="auto"/>
        <w:rPr>
          <w:sz w:val="20"/>
          <w:szCs w:val="20"/>
          <w:color w:val="auto"/>
        </w:rPr>
      </w:pPr>
      <w:r>
        <w:rPr>
          <w:rFonts w:ascii="Arial" w:cs="Arial" w:eastAsia="Arial" w:hAnsi="Arial"/>
          <w:sz w:val="18"/>
          <w:szCs w:val="18"/>
          <w:color w:val="auto"/>
        </w:rPr>
        <w:t>Robert C. Buhrmaster is our presiding non-management director. Our presiding non-management director serves as the chair at independent sessions of the non-management directors. Six regular meetings of the Board are held each year and at each regular Board meeting our non-management directors meet in executive session without Management present.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w:t>
      </w:r>
    </w:p>
    <w:p>
      <w:pPr>
        <w:spacing w:after="0" w:line="234" w:lineRule="exact"/>
        <w:rPr>
          <w:sz w:val="20"/>
          <w:szCs w:val="20"/>
          <w:color w:val="auto"/>
        </w:rPr>
      </w:pPr>
    </w:p>
    <w:p>
      <w:pPr>
        <w:ind w:right="260" w:firstLine="387"/>
        <w:spacing w:after="0" w:line="239" w:lineRule="auto"/>
        <w:rPr>
          <w:sz w:val="20"/>
          <w:szCs w:val="20"/>
          <w:color w:val="auto"/>
        </w:rPr>
      </w:pPr>
      <w:r>
        <w:rPr>
          <w:rFonts w:ascii="Arial" w:cs="Arial" w:eastAsia="Arial" w:hAnsi="Arial"/>
          <w:sz w:val="18"/>
          <w:szCs w:val="18"/>
          <w:color w:val="auto"/>
        </w:rPr>
        <w:t>The Board held six meetings during fiscal 2009. Each incumbent director attended at least 75% of the aggregate total number of meetings held by the Board and all committees on which he or she served.</w:t>
      </w:r>
    </w:p>
    <w:p>
      <w:pPr>
        <w:spacing w:after="0" w:line="209" w:lineRule="exact"/>
        <w:rPr>
          <w:sz w:val="20"/>
          <w:szCs w:val="20"/>
          <w:color w:val="auto"/>
        </w:rPr>
      </w:pPr>
    </w:p>
    <w:p>
      <w:pPr>
        <w:ind w:right="60" w:firstLine="391"/>
        <w:spacing w:after="0" w:line="239" w:lineRule="auto"/>
        <w:rPr>
          <w:sz w:val="20"/>
          <w:szCs w:val="20"/>
          <w:color w:val="auto"/>
        </w:rPr>
      </w:pPr>
      <w:r>
        <w:rPr>
          <w:rFonts w:ascii="Arial" w:cs="Arial" w:eastAsia="Arial" w:hAnsi="Arial"/>
          <w:sz w:val="18"/>
          <w:szCs w:val="18"/>
          <w:color w:val="auto"/>
        </w:rPr>
        <w:t>We encourage all of our directors to attend our annual meeting of shareholders and we customarily schedule a regular Board meeting on the same day as our annual meeting. Nine of our directors attended the 2009 Annual Meeting.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jc w:val="both"/>
        <w:ind w:right="700" w:firstLine="387"/>
        <w:spacing w:after="0" w:line="238" w:lineRule="auto"/>
        <w:rPr>
          <w:sz w:val="20"/>
          <w:szCs w:val="20"/>
          <w:color w:val="auto"/>
        </w:rPr>
      </w:pPr>
      <w:r>
        <w:rPr>
          <w:rFonts w:ascii="Arial" w:cs="Arial" w:eastAsia="Arial" w:hAnsi="Arial"/>
          <w:sz w:val="18"/>
          <w:szCs w:val="18"/>
          <w:color w:val="auto"/>
        </w:rPr>
        <w:t>The Board has five committees with the principal functions and membership described below. Each committee, except the Executive Committee, has a charter which is posted on our website at www.thetorocompany.com (select the "Investor Information" link and then the "Corporate Governance" link).</w:t>
      </w:r>
    </w:p>
    <w:p>
      <w:pPr>
        <w:spacing w:after="0" w:line="208" w:lineRule="exact"/>
        <w:rPr>
          <w:sz w:val="20"/>
          <w:szCs w:val="20"/>
          <w:color w:val="auto"/>
        </w:rPr>
      </w:pPr>
    </w:p>
    <w:p>
      <w:pPr>
        <w:ind w:right="40" w:firstLine="387"/>
        <w:spacing w:after="0" w:line="237" w:lineRule="auto"/>
        <w:rPr>
          <w:sz w:val="20"/>
          <w:szCs w:val="20"/>
          <w:color w:val="auto"/>
        </w:rPr>
      </w:pPr>
      <w:r>
        <w:rPr>
          <w:rFonts w:ascii="Arial" w:cs="Arial" w:eastAsia="Arial" w:hAnsi="Arial"/>
          <w:sz w:val="18"/>
          <w:szCs w:val="18"/>
          <w:color w:val="auto"/>
        </w:rPr>
        <w:t>The following table summarizes the current membership of each of our five Board committees. Each of the members of the Audit Committee, Compensation &amp; Human Resources Committee and Nominating &amp; Governance Committee meets the independence and other requirements established by the listing standards of the NYSE, the rules and regulations of the SEC, and the Internal Revenue Code of 1986, as amended, or the Code, as applicable.</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jc w:val="center"/>
              <w:ind w:right="32"/>
              <w:spacing w:after="0"/>
              <w:rPr>
                <w:sz w:val="20"/>
                <w:szCs w:val="20"/>
                <w:color w:val="auto"/>
              </w:rPr>
            </w:pPr>
            <w:r>
              <w:rPr>
                <w:rFonts w:ascii="Arial" w:cs="Arial" w:eastAsia="Arial" w:hAnsi="Arial"/>
                <w:sz w:val="18"/>
                <w:szCs w:val="18"/>
                <w:b w:val="1"/>
                <w:bCs w:val="1"/>
                <w:color w:val="auto"/>
                <w:w w:val="97"/>
              </w:rPr>
              <w:t>Compensation</w:t>
            </w: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8"/>
              </w:rPr>
              <w:t>&amp; Human</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2"/>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1060" w:type="dxa"/>
            <w:vAlign w:val="bottom"/>
          </w:tcPr>
          <w:p>
            <w:pPr>
              <w:jc w:val="center"/>
              <w:ind w:left="312"/>
              <w:spacing w:after="0"/>
              <w:rPr>
                <w:sz w:val="20"/>
                <w:szCs w:val="20"/>
                <w:color w:val="auto"/>
              </w:rPr>
            </w:pPr>
            <w:r>
              <w:rPr>
                <w:rFonts w:ascii="Arial" w:cs="Arial" w:eastAsia="Arial" w:hAnsi="Arial"/>
                <w:sz w:val="18"/>
                <w:szCs w:val="18"/>
                <w:b w:val="1"/>
                <w:bCs w:val="1"/>
                <w:color w:val="auto"/>
                <w:w w:val="99"/>
              </w:rPr>
              <w:t>Audit</w:t>
            </w:r>
          </w:p>
        </w:tc>
        <w:tc>
          <w:tcPr>
            <w:tcW w:w="1580" w:type="dxa"/>
            <w:vAlign w:val="bottom"/>
          </w:tcPr>
          <w:p>
            <w:pPr>
              <w:jc w:val="center"/>
              <w:ind w:right="32"/>
              <w:spacing w:after="0"/>
              <w:rPr>
                <w:sz w:val="20"/>
                <w:szCs w:val="20"/>
                <w:color w:val="auto"/>
              </w:rPr>
            </w:pPr>
            <w:r>
              <w:rPr>
                <w:rFonts w:ascii="Arial" w:cs="Arial" w:eastAsia="Arial" w:hAnsi="Arial"/>
                <w:sz w:val="18"/>
                <w:szCs w:val="18"/>
                <w:b w:val="1"/>
                <w:bCs w:val="1"/>
                <w:color w:val="auto"/>
                <w:w w:val="97"/>
              </w:rPr>
              <w:t>Resources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6"/>
              </w:rPr>
              <w:t>&amp; Governance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6"/>
              </w:rPr>
              <w:t>Finance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Executive</w:t>
            </w:r>
          </w:p>
        </w:tc>
      </w:tr>
      <w:tr>
        <w:trPr>
          <w:trHeight w:val="216"/>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C. Buhrmaster</w:t>
            </w:r>
          </w:p>
        </w:tc>
        <w:tc>
          <w:tcPr>
            <w:tcW w:w="1060" w:type="dxa"/>
            <w:vAlign w:val="bottom"/>
            <w:tcBorders>
              <w:top w:val="single" w:sz="8" w:color="auto"/>
            </w:tcBorders>
            <w:shd w:val="clear" w:color="auto" w:fill="CCEEFF"/>
          </w:tcPr>
          <w:p>
            <w:pPr>
              <w:jc w:val="center"/>
              <w:ind w:left="312"/>
              <w:spacing w:after="0"/>
              <w:rPr>
                <w:sz w:val="20"/>
                <w:szCs w:val="20"/>
                <w:color w:val="auto"/>
              </w:rPr>
            </w:pPr>
            <w:r>
              <w:rPr>
                <w:rFonts w:ascii="Arial" w:cs="Arial" w:eastAsia="Arial" w:hAnsi="Arial"/>
                <w:sz w:val="18"/>
                <w:szCs w:val="18"/>
                <w:color w:val="auto"/>
                <w:w w:val="99"/>
              </w:rPr>
              <w:t>ü</w:t>
            </w:r>
          </w:p>
        </w:tc>
        <w:tc>
          <w:tcPr>
            <w:tcW w:w="15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Winslow H. Buxton</w:t>
            </w:r>
          </w:p>
        </w:tc>
        <w:tc>
          <w:tcPr>
            <w:tcW w:w="1060" w:type="dxa"/>
            <w:vAlign w:val="bottom"/>
          </w:tcPr>
          <w:p>
            <w:pPr>
              <w:jc w:val="center"/>
              <w:ind w:left="312"/>
              <w:spacing w:after="0"/>
              <w:rPr>
                <w:sz w:val="20"/>
                <w:szCs w:val="20"/>
                <w:color w:val="auto"/>
              </w:rPr>
            </w:pPr>
            <w:r>
              <w:rPr>
                <w:rFonts w:ascii="Arial" w:cs="Arial" w:eastAsia="Arial" w:hAnsi="Arial"/>
                <w:sz w:val="18"/>
                <w:szCs w:val="18"/>
                <w:color w:val="auto"/>
                <w:w w:val="99"/>
              </w:rPr>
              <w:t>ü</w:t>
            </w:r>
          </w:p>
        </w:tc>
        <w:tc>
          <w:tcPr>
            <w:tcW w:w="1580" w:type="dxa"/>
            <w:vAlign w:val="bottom"/>
          </w:tcPr>
          <w:p>
            <w:pPr>
              <w:jc w:val="center"/>
              <w:ind w:right="32"/>
              <w:spacing w:after="0"/>
              <w:rPr>
                <w:sz w:val="20"/>
                <w:szCs w:val="20"/>
                <w:color w:val="auto"/>
              </w:rPr>
            </w:pPr>
            <w:r>
              <w:rPr>
                <w:rFonts w:ascii="Arial" w:cs="Arial" w:eastAsia="Arial" w:hAnsi="Arial"/>
                <w:sz w:val="18"/>
                <w:szCs w:val="18"/>
                <w:color w:val="auto"/>
                <w:w w:val="99"/>
              </w:rPr>
              <w:t>ü</w:t>
            </w:r>
          </w:p>
        </w:tc>
        <w:tc>
          <w:tcPr>
            <w:tcW w:w="172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Janet K. Cooper</w:t>
            </w:r>
          </w:p>
        </w:tc>
        <w:tc>
          <w:tcPr>
            <w:tcW w:w="10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7"/>
              </w:rPr>
              <w:t>Chair</w:t>
            </w:r>
          </w:p>
        </w:tc>
        <w:tc>
          <w:tcPr>
            <w:tcW w:w="1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Gary L. Ellis</w:t>
            </w:r>
          </w:p>
        </w:tc>
        <w:tc>
          <w:tcPr>
            <w:tcW w:w="1060" w:type="dxa"/>
            <w:vAlign w:val="bottom"/>
          </w:tcPr>
          <w:p>
            <w:pPr>
              <w:jc w:val="center"/>
              <w:ind w:left="312"/>
              <w:spacing w:after="0"/>
              <w:rPr>
                <w:sz w:val="20"/>
                <w:szCs w:val="20"/>
                <w:color w:val="auto"/>
              </w:rPr>
            </w:pPr>
            <w:r>
              <w:rPr>
                <w:rFonts w:ascii="Arial" w:cs="Arial" w:eastAsia="Arial" w:hAnsi="Arial"/>
                <w:sz w:val="18"/>
                <w:szCs w:val="18"/>
                <w:color w:val="auto"/>
                <w:w w:val="99"/>
              </w:rPr>
              <w:t>ü</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Katherine J. Harless</w:t>
            </w:r>
          </w:p>
        </w:tc>
        <w:tc>
          <w:tcPr>
            <w:tcW w:w="10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ü</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Michael J Hoffman</w:t>
            </w: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Chair</w:t>
            </w: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Robert H. Nassau</w:t>
            </w:r>
          </w:p>
        </w:tc>
        <w:tc>
          <w:tcPr>
            <w:tcW w:w="10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ü</w:t>
            </w:r>
          </w:p>
        </w:tc>
        <w:tc>
          <w:tcPr>
            <w:tcW w:w="15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ü</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106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Arial" w:cs="Arial" w:eastAsia="Arial" w:hAnsi="Arial"/>
                <w:sz w:val="18"/>
                <w:szCs w:val="18"/>
                <w:color w:val="auto"/>
                <w:w w:val="99"/>
              </w:rPr>
              <w:t>ü</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Inge G. Thulin</w:t>
            </w:r>
          </w:p>
        </w:tc>
        <w:tc>
          <w:tcPr>
            <w:tcW w:w="10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99"/>
              </w:rPr>
              <w:t>ü</w:t>
            </w:r>
          </w:p>
        </w:tc>
        <w:tc>
          <w:tcPr>
            <w:tcW w:w="1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28"/>
        </w:trPr>
        <w:tc>
          <w:tcPr>
            <w:tcW w:w="2340" w:type="dxa"/>
            <w:vAlign w:val="bottom"/>
            <w:gridSpan w:val="2"/>
          </w:tcPr>
          <w:p>
            <w:pPr>
              <w:spacing w:after="0"/>
              <w:rPr>
                <w:sz w:val="20"/>
                <w:szCs w:val="20"/>
                <w:color w:val="auto"/>
              </w:rPr>
            </w:pPr>
            <w:r>
              <w:rPr>
                <w:rFonts w:ascii="Arial" w:cs="Arial" w:eastAsia="Arial" w:hAnsi="Arial"/>
                <w:sz w:val="18"/>
                <w:szCs w:val="18"/>
                <w:color w:val="auto"/>
              </w:rPr>
              <w:t>Christopher A. Twomey</w:t>
            </w:r>
          </w:p>
        </w:tc>
        <w:tc>
          <w:tcPr>
            <w:tcW w:w="1060" w:type="dxa"/>
            <w:vAlign w:val="bottom"/>
          </w:tcPr>
          <w:p>
            <w:pPr>
              <w:spacing w:after="0"/>
              <w:rPr>
                <w:sz w:val="19"/>
                <w:szCs w:val="19"/>
                <w:color w:val="auto"/>
              </w:rPr>
            </w:pPr>
          </w:p>
        </w:tc>
        <w:tc>
          <w:tcPr>
            <w:tcW w:w="1580" w:type="dxa"/>
            <w:vAlign w:val="bottom"/>
          </w:tcPr>
          <w:p>
            <w:pPr>
              <w:jc w:val="center"/>
              <w:ind w:right="32"/>
              <w:spacing w:after="0"/>
              <w:rPr>
                <w:sz w:val="20"/>
                <w:szCs w:val="20"/>
                <w:color w:val="auto"/>
              </w:rPr>
            </w:pPr>
            <w:r>
              <w:rPr>
                <w:rFonts w:ascii="Arial" w:cs="Arial" w:eastAsia="Arial" w:hAnsi="Arial"/>
                <w:sz w:val="18"/>
                <w:szCs w:val="18"/>
                <w:color w:val="auto"/>
                <w:w w:val="97"/>
              </w:rPr>
              <w:t>Chair</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12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ü</w:t>
            </w:r>
          </w:p>
        </w:tc>
      </w:tr>
    </w:tbl>
    <w:p>
      <w:pPr>
        <w:spacing w:after="0" w:line="186" w:lineRule="exact"/>
        <w:rPr>
          <w:sz w:val="20"/>
          <w:szCs w:val="20"/>
          <w:color w:val="auto"/>
        </w:rPr>
      </w:pPr>
    </w:p>
    <w:p>
      <w:pPr>
        <w:ind w:firstLine="384"/>
        <w:spacing w:after="0" w:line="24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our accounting and financial reporting processes and audits of our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The Audit Committee assists the Board in oversight of the quality and integrity of our financial reports, our compliance with legal and regulatory requirements, the qualifications and independence of our independent registered public accounting firm, or external auditor, and the performance of our internal audit function, as well as accounting and reporting processes. More specifically, the Audit Committee's duties and responsibilities include, among others:</w:t>
      </w:r>
    </w:p>
    <w:p>
      <w:pPr>
        <w:spacing w:after="0" w:line="207" w:lineRule="exact"/>
        <w:rPr>
          <w:sz w:val="20"/>
          <w:szCs w:val="20"/>
          <w:color w:val="auto"/>
        </w:rPr>
      </w:pPr>
    </w:p>
    <w:p>
      <w:pPr>
        <w:ind w:left="1080" w:right="28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external auditor and having direct responsibility for selecting,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engaging, retaining, compensating and, where appropriate, replacing our external auditor;</w:t>
      </w:r>
    </w:p>
    <w:p>
      <w:pPr>
        <w:spacing w:after="0" w:line="212" w:lineRule="exact"/>
        <w:rPr>
          <w:sz w:val="20"/>
          <w:szCs w:val="20"/>
          <w:color w:val="auto"/>
        </w:rPr>
      </w:pPr>
    </w:p>
    <w:p>
      <w:pPr>
        <w:ind w:left="1080" w:right="6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in advance the scope, magnitude and budgets of all examinations of our consolidated financial statements by our external auditor;</w:t>
      </w:r>
    </w:p>
    <w:p>
      <w:pPr>
        <w:spacing w:after="0" w:line="208" w:lineRule="exact"/>
        <w:rPr>
          <w:rFonts w:ascii="Arial" w:cs="Arial" w:eastAsia="Arial" w:hAnsi="Arial"/>
          <w:sz w:val="18"/>
          <w:szCs w:val="18"/>
          <w:color w:val="auto"/>
        </w:rPr>
      </w:pPr>
    </w:p>
    <w:p>
      <w:pPr>
        <w:ind w:left="1080" w:right="60" w:hanging="532"/>
        <w:spacing w:after="0" w:line="23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external auditor for all types of audit and permitted non-audit services to be performed by our external auditor, approving the fees for such services and establishing pre-approval policies and procedures to retain our external auditor for additional non-audit services;</w:t>
      </w:r>
    </w:p>
    <w:p>
      <w:pPr>
        <w:spacing w:after="0" w:line="194"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Meeting with our external auditor periodically without Company representatives present to discuss internal controls and accuracy and completeness of our consolidated financial statements;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211" w:lineRule="exact"/>
        <w:rPr>
          <w:rFonts w:ascii="Arial" w:cs="Arial" w:eastAsia="Arial" w:hAnsi="Arial"/>
          <w:sz w:val="18"/>
          <w:szCs w:val="18"/>
          <w:color w:val="auto"/>
        </w:rPr>
      </w:pPr>
    </w:p>
    <w:p>
      <w:pPr>
        <w:ind w:left="1080" w:right="60" w:hanging="532"/>
        <w:spacing w:after="0" w:line="23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annual audit plans of our internal audit group and its capability to perform its duties, including its organization, staffing and independence and reviewing significant comments and recommendations of the internal audit group and Management's responses;</w:t>
      </w:r>
    </w:p>
    <w:p>
      <w:pPr>
        <w:spacing w:after="0" w:line="194" w:lineRule="exact"/>
        <w:rPr>
          <w:rFonts w:ascii="Arial" w:cs="Arial" w:eastAsia="Arial" w:hAnsi="Arial"/>
          <w:sz w:val="18"/>
          <w:szCs w:val="18"/>
          <w:color w:val="auto"/>
        </w:rPr>
      </w:pPr>
    </w:p>
    <w:p>
      <w:pPr>
        <w:ind w:left="1080" w:right="280" w:hanging="532"/>
        <w:spacing w:after="0" w:line="23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Receiving analyses and comments regarding significant accounting pronouncements which might affect our Company;</w:t>
      </w:r>
    </w:p>
    <w:p>
      <w:pPr>
        <w:spacing w:after="0" w:line="211" w:lineRule="exact"/>
        <w:rPr>
          <w:rFonts w:ascii="Arial" w:cs="Arial" w:eastAsia="Arial" w:hAnsi="Arial"/>
          <w:sz w:val="18"/>
          <w:szCs w:val="18"/>
          <w:color w:val="auto"/>
        </w:rPr>
      </w:pPr>
    </w:p>
    <w:p>
      <w:pPr>
        <w:ind w:left="1080" w:right="400" w:hanging="532"/>
        <w:spacing w:after="0" w:line="23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results of audits with our external auditor and Management with a focus on difficulties encountered, material errors or irregularities, weaknesses in internal controls and similar issues, and notifying the Board of major problems or deficiencies discovered in carrying out the Audit Committee's duties;</w:t>
      </w:r>
    </w:p>
    <w:p>
      <w:pPr>
        <w:spacing w:after="0" w:line="194" w:lineRule="exact"/>
        <w:rPr>
          <w:rFonts w:ascii="Arial" w:cs="Arial" w:eastAsia="Arial" w:hAnsi="Arial"/>
          <w:sz w:val="18"/>
          <w:szCs w:val="18"/>
          <w:color w:val="auto"/>
        </w:rPr>
      </w:pPr>
    </w:p>
    <w:p>
      <w:pPr>
        <w:ind w:left="1080" w:right="300" w:hanging="532"/>
        <w:spacing w:after="0" w:line="23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any correspondence with regulators or governmental agencies and any significant employee complaints or published reports that raise material issues regarding our consolidated financial statements or accounting policies;</w:t>
      </w:r>
    </w:p>
    <w:p>
      <w:pPr>
        <w:spacing w:after="0" w:line="194" w:lineRule="exact"/>
        <w:rPr>
          <w:rFonts w:ascii="Arial" w:cs="Arial" w:eastAsia="Arial" w:hAnsi="Arial"/>
          <w:sz w:val="18"/>
          <w:szCs w:val="18"/>
          <w:color w:val="auto"/>
        </w:rPr>
      </w:pPr>
    </w:p>
    <w:p>
      <w:pPr>
        <w:ind w:left="1080" w:right="34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Discussing our annual audited consolidated financial statements and quarterly condensed consolidated financial statements with Management and our external auditor, including our external auditor's audit or review of such financial statements;</w:t>
      </w:r>
    </w:p>
    <w:p>
      <w:pPr>
        <w:spacing w:after="0" w:line="208" w:lineRule="exact"/>
        <w:rPr>
          <w:rFonts w:ascii="Arial" w:cs="Arial" w:eastAsia="Arial" w:hAnsi="Arial"/>
          <w:sz w:val="18"/>
          <w:szCs w:val="18"/>
          <w:color w:val="auto"/>
        </w:rPr>
      </w:pPr>
    </w:p>
    <w:p>
      <w:pPr>
        <w:ind w:left="1080" w:right="52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 and</w:t>
      </w:r>
    </w:p>
    <w:p>
      <w:pPr>
        <w:spacing w:after="0" w:line="195" w:lineRule="exact"/>
        <w:rPr>
          <w:rFonts w:ascii="Arial" w:cs="Arial" w:eastAsia="Arial" w:hAnsi="Arial"/>
          <w:sz w:val="18"/>
          <w:szCs w:val="18"/>
          <w:color w:val="auto"/>
        </w:rPr>
      </w:pPr>
    </w:p>
    <w:p>
      <w:pPr>
        <w:ind w:left="1080" w:right="54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firstLine="387"/>
        <w:spacing w:after="0" w:line="268" w:lineRule="auto"/>
        <w:rPr>
          <w:sz w:val="20"/>
          <w:szCs w:val="20"/>
          <w:color w:val="auto"/>
        </w:rPr>
      </w:pPr>
      <w:r>
        <w:rPr>
          <w:rFonts w:ascii="Arial" w:cs="Arial" w:eastAsia="Arial" w:hAnsi="Arial"/>
          <w:sz w:val="16"/>
          <w:szCs w:val="16"/>
          <w:color w:val="auto"/>
        </w:rPr>
        <w:t>The Board has determined that all members of the Audit Committee, in addition to being independent under the listing standards of the NYSE and the rules and regulations of the SEC, are financially 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 Vice President of Finance and Administration of McDATA Corporation, as well as other finance positions with Qwest Communications International Inc.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390" w:lineRule="exact"/>
        <w:rPr>
          <w:sz w:val="20"/>
          <w:szCs w:val="20"/>
          <w:color w:val="auto"/>
        </w:rPr>
      </w:pPr>
    </w:p>
    <w:p>
      <w:pPr>
        <w:ind w:right="100" w:firstLine="387"/>
        <w:spacing w:after="0" w:line="236" w:lineRule="auto"/>
        <w:rPr>
          <w:sz w:val="20"/>
          <w:szCs w:val="20"/>
          <w:color w:val="auto"/>
        </w:rPr>
      </w:pPr>
      <w:r>
        <w:rPr>
          <w:rFonts w:ascii="Arial" w:cs="Arial" w:eastAsia="Arial" w:hAnsi="Arial"/>
          <w:sz w:val="18"/>
          <w:szCs w:val="18"/>
          <w:color w:val="auto"/>
        </w:rPr>
        <w:t>The Audit Committee reviews the adequacy of its charter and its own performance on an annual basis. The Audit Committee held 11 meetings during fiscal 2009. At four of these meetings, the Audit Committee met in private session with our independent registered public accounting firm and independently without Management present. At four of these meetings, the Audit Committee met in separate private sessions with Senior Management and at three of these meetings the Audit Committee met in separate private sessions with the director of internal audit. Additional information regarding the Audit Committee and our independent registered public accounting firm is disclosed under the heading "Audit Committee Report" beginning on page 93 and under Proposal Three—Ratification of Selection of Independent Registered Public Accounting Firm beginning on page 91.</w:t>
      </w:r>
    </w:p>
    <w:p>
      <w:pPr>
        <w:spacing w:after="0" w:line="187" w:lineRule="exact"/>
        <w:rPr>
          <w:sz w:val="20"/>
          <w:szCs w:val="20"/>
          <w:color w:val="auto"/>
        </w:rPr>
      </w:pPr>
    </w:p>
    <w:p>
      <w:pPr>
        <w:ind w:firstLine="391"/>
        <w:spacing w:after="0" w:line="280" w:lineRule="auto"/>
        <w:rPr>
          <w:sz w:val="20"/>
          <w:szCs w:val="20"/>
          <w:color w:val="auto"/>
        </w:rPr>
      </w:pPr>
      <w:r>
        <w:rPr>
          <w:rFonts w:ascii="Arial" w:cs="Arial" w:eastAsia="Arial" w:hAnsi="Arial"/>
          <w:sz w:val="16"/>
          <w:szCs w:val="16"/>
          <w:b w:val="1"/>
          <w:bCs w:val="1"/>
          <w:color w:val="auto"/>
        </w:rPr>
        <w:t xml:space="preserve">Compensation &amp; Human Resources Committee. </w:t>
      </w:r>
      <w:r>
        <w:rPr>
          <w:rFonts w:ascii="Arial" w:cs="Arial" w:eastAsia="Arial" w:hAnsi="Arial"/>
          <w:sz w:val="16"/>
          <w:szCs w:val="16"/>
          <w:color w:val="auto"/>
        </w:rPr>
        <w:t>The Compensation &amp; Human Resources Committee is responsible for discharging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Board's responsibilities relating to compensation of our CEO and other executive officers and reviewing and monitoring our human resource and organizational matters. The Compensation &amp; Human Resources Committee has overall responsibility for approving and evaluating all of our compensation plans, policies and programs, as well as our philosophy and strategy, as they affect the CEO, other executive officers and management employees. More specifically, the Compensation &amp; Human Resources Committee's duties and responsibilities include, among others:</w:t>
      </w:r>
    </w:p>
    <w:p>
      <w:pPr>
        <w:spacing w:after="0" w:line="178" w:lineRule="exact"/>
        <w:rPr>
          <w:sz w:val="20"/>
          <w:szCs w:val="20"/>
          <w:color w:val="auto"/>
        </w:rPr>
      </w:pPr>
    </w:p>
    <w:p>
      <w:pPr>
        <w:ind w:left="1080" w:right="12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Having sole authority to retain and terminate any external compensation consultant used to assist the Compensation &amp; Human Resources Committee in the evaluation of CEO or other executive officer compensation, including approval of fees to be paid to the consultant;</w:t>
      </w:r>
    </w:p>
    <w:p>
      <w:pPr>
        <w:spacing w:after="0" w:line="208" w:lineRule="exact"/>
        <w:rPr>
          <w:rFonts w:ascii="Arial" w:cs="Arial" w:eastAsia="Arial" w:hAnsi="Arial"/>
          <w:sz w:val="18"/>
          <w:szCs w:val="18"/>
          <w:color w:val="auto"/>
        </w:rPr>
      </w:pPr>
    </w:p>
    <w:p>
      <w:pPr>
        <w:jc w:val="both"/>
        <w:ind w:left="1080" w:right="300" w:hanging="532"/>
        <w:spacing w:after="0" w:line="23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and recommending to the Board the overall compensation levels for the CEO based on such evaluation;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the annual base salaries, annual incentive opportunities and other compensation arrangements of the CEO and other executive officers;</w:t>
      </w:r>
    </w:p>
    <w:p>
      <w:pPr>
        <w:spacing w:after="0" w:line="208" w:lineRule="exact"/>
        <w:rPr>
          <w:rFonts w:ascii="Arial" w:cs="Arial" w:eastAsia="Arial" w:hAnsi="Arial"/>
          <w:sz w:val="18"/>
          <w:szCs w:val="18"/>
          <w:color w:val="auto"/>
        </w:rPr>
      </w:pPr>
    </w:p>
    <w:p>
      <w:pPr>
        <w:ind w:left="1080" w:right="40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monitoring all significant compensation policies and benefit plans to ensure continued appropriateness, including overall employee salary policies and equity-based programs for all categories of employees;</w:t>
      </w:r>
    </w:p>
    <w:p>
      <w:pPr>
        <w:spacing w:after="0" w:line="195"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stock ownership guidelines for the CEO and other executive officers and reviewing and recommending any proposed changes in director stock ownership guidelines to the Nominating &amp; Governance Committee;</w:t>
      </w:r>
    </w:p>
    <w:p>
      <w:pPr>
        <w:spacing w:after="0" w:line="195"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approving and administering executive compensation plans, incentive compensation plans and equity-based plans and monitoring compliance with NYSE shareholder approval requirements regarding equity compensation plans;</w:t>
      </w:r>
    </w:p>
    <w:p>
      <w:pPr>
        <w:spacing w:after="0" w:line="20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Nominating &amp; Governance Committee.</w:t>
      </w:r>
    </w:p>
    <w:p>
      <w:pPr>
        <w:spacing w:after="0" w:line="212" w:lineRule="exact"/>
        <w:rPr>
          <w:sz w:val="20"/>
          <w:szCs w:val="20"/>
          <w:color w:val="auto"/>
        </w:rPr>
      </w:pPr>
    </w:p>
    <w:p>
      <w:pPr>
        <w:ind w:right="160" w:firstLine="387"/>
        <w:spacing w:after="0" w:line="238" w:lineRule="auto"/>
        <w:rPr>
          <w:sz w:val="20"/>
          <w:szCs w:val="20"/>
          <w:color w:val="auto"/>
        </w:rPr>
      </w:pPr>
      <w:r>
        <w:rPr>
          <w:rFonts w:ascii="Arial" w:cs="Arial" w:eastAsia="Arial" w:hAnsi="Arial"/>
          <w:sz w:val="18"/>
          <w:szCs w:val="18"/>
          <w:color w:val="auto"/>
        </w:rPr>
        <w:t>The Compensation &amp; Human Resources Committee reviews the adequacy of its charter and its own performance on an annual basis. The Compensation &amp; Human Resources Committee held four meetings during fiscal 2009 and took action by written consent four times in fiscal 2009. At each of its meetings, the Compensation &amp; Human Resources Committee met in private session without Management present.</w:t>
      </w:r>
    </w:p>
    <w:p>
      <w:pPr>
        <w:spacing w:after="0" w:line="188" w:lineRule="exact"/>
        <w:rPr>
          <w:sz w:val="20"/>
          <w:szCs w:val="20"/>
          <w:color w:val="auto"/>
        </w:rPr>
      </w:pPr>
    </w:p>
    <w:p>
      <w:pPr>
        <w:ind w:right="80" w:firstLine="391"/>
        <w:spacing w:after="0" w:line="239" w:lineRule="auto"/>
        <w:rPr>
          <w:sz w:val="20"/>
          <w:szCs w:val="20"/>
          <w:color w:val="auto"/>
        </w:rPr>
      </w:pPr>
      <w:r>
        <w:rPr>
          <w:rFonts w:ascii="Arial" w:cs="Arial" w:eastAsia="Arial" w:hAnsi="Arial"/>
          <w:sz w:val="18"/>
          <w:szCs w:val="18"/>
          <w:b w:val="1"/>
          <w:bCs w:val="1"/>
          <w:i w:val="1"/>
          <w:iCs w:val="1"/>
          <w:color w:val="auto"/>
        </w:rPr>
        <w:t xml:space="preserve">Determining Executive Compensation. </w:t>
      </w:r>
      <w:r>
        <w:rPr>
          <w:rFonts w:ascii="Arial" w:cs="Arial" w:eastAsia="Arial" w:hAnsi="Arial"/>
          <w:sz w:val="18"/>
          <w:szCs w:val="18"/>
          <w:color w:val="auto"/>
        </w:rPr>
        <w:t>At the beginning of each fiscal year, the Compensation &amp; Human Resources Committee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CEO, each of our vice presidents, including each of the other named executive officers, and all general managers, which includes increases, if any, to base salary; annual incentive targets and financial business goals for the current fiscal year; and long-term incentive awards for the current fiscal year. Additionally, the Compensation &amp; Human Resources Committee certifies the achievement at the level presented at the meeting of financial business goals and performance goals established by the Committee at the beginning of the prior fiscal year and approves annual incentive payouts, if any, for the prior fiscal year and long-term incentive payouts, if any, for the performance period ending as of the end of the prior fiscal year.</w:t>
      </w:r>
    </w:p>
    <w:p>
      <w:pPr>
        <w:spacing w:after="0" w:line="211" w:lineRule="exact"/>
        <w:rPr>
          <w:sz w:val="20"/>
          <w:szCs w:val="20"/>
          <w:color w:val="auto"/>
        </w:rPr>
      </w:pPr>
    </w:p>
    <w:p>
      <w:pPr>
        <w:ind w:firstLine="387"/>
        <w:spacing w:after="0" w:line="236" w:lineRule="auto"/>
        <w:rPr>
          <w:sz w:val="20"/>
          <w:szCs w:val="20"/>
          <w:color w:val="auto"/>
        </w:rPr>
      </w:pPr>
      <w:r>
        <w:rPr>
          <w:rFonts w:ascii="Arial" w:cs="Arial" w:eastAsia="Arial" w:hAnsi="Arial"/>
          <w:sz w:val="18"/>
          <w:szCs w:val="18"/>
          <w:color w:val="auto"/>
        </w:rPr>
        <w:t>The Compensation &amp; Human Resources Committee has the sole authority to retain and terminate any external compensation consultant to be used to assist it in the evaluation of the compensation paid to our CEO and other executive officers, including the sole authority to approve the consultant's fees and the other terms and conditions of the consultant's retention. The Compensation &amp; Human Resources Committee has retained Towers Watson to assist in the design and review of our executive compensation program. For additional information regarding the role of Towers Watson, please see the Compensation Discussion and Analysis beginning on page 32. Additionally, from time to time, the Compensation &amp; Human Resources Committee has engaged Towers Watson in connection with its review of board of director compensation and to assist with stock option plan review. Towers Watson does not provide any services to the Company other than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those for which it has been retained by the Compensation &amp; Human Resources Committee. Representatives from Towers Watson periodically attend meetings of the Compensation &amp; Human Resources Committee as resources for the committee in carrying out its responsibilities. The Compensation &amp; Human Resources Committee, through its Chair, can request an independent meeting with representatives from Towers Watson at any time. The Compensation &amp; Human Resources Committee also has the authority to obtain advice and assistance from external legal, accounting or other advisors.</w:t>
      </w:r>
    </w:p>
    <w:p>
      <w:pPr>
        <w:spacing w:after="0" w:line="211" w:lineRule="exact"/>
        <w:rPr>
          <w:sz w:val="20"/>
          <w:szCs w:val="20"/>
          <w:color w:val="auto"/>
        </w:rPr>
      </w:pPr>
    </w:p>
    <w:p>
      <w:pPr>
        <w:ind w:right="60" w:firstLine="391"/>
        <w:spacing w:after="0" w:line="235" w:lineRule="auto"/>
        <w:rPr>
          <w:sz w:val="20"/>
          <w:szCs w:val="20"/>
          <w:color w:val="auto"/>
        </w:rPr>
      </w:pPr>
      <w:r>
        <w:rPr>
          <w:rFonts w:ascii="Arial" w:cs="Arial" w:eastAsia="Arial" w:hAnsi="Arial"/>
          <w:sz w:val="18"/>
          <w:szCs w:val="18"/>
          <w:color w:val="auto"/>
        </w:rPr>
        <w:t>When reviewing and approving compensation for our CEO, the Compensation &amp; Human Resources Committee reviews market data and analysis provided by Towers Watson and recommendations from our Vice President, Human Resources and Business Development and Director, Total Rewards and HR Services regarding corporate and division performance, tenure in the position and outside market factors, including general economic conditions. The Chair of the Compensation &amp; Human Resources Committee also coordinates a performance evaluation for the CEO based on feedback from all non-employee directors in connection with the ratification of CEO compensation by the Board. When reviewing and approving compensation for each other named executive officer, the Compensation &amp; Human Resources Committee reviews market data and analysis provided by Towers Watson and recommendations from our CEO and our Vice President, Human Resources and Business Development and Director, Total Rewards and HR Services regarding individual and corporate performance, tenure in the position and outside market factors, including general economic conditions. For information on the compensation of our named executive officers, please refer to "Executive Compensation" beginning on page 32.</w:t>
      </w:r>
    </w:p>
    <w:p>
      <w:pPr>
        <w:spacing w:after="0" w:line="193" w:lineRule="exact"/>
        <w:rPr>
          <w:sz w:val="20"/>
          <w:szCs w:val="20"/>
          <w:color w:val="auto"/>
        </w:rPr>
      </w:pPr>
    </w:p>
    <w:p>
      <w:pPr>
        <w:ind w:left="400"/>
        <w:spacing w:after="0"/>
        <w:tabs>
          <w:tab w:leader="none" w:pos="3780" w:val="left"/>
        </w:tabs>
        <w:rPr>
          <w:sz w:val="20"/>
          <w:szCs w:val="20"/>
          <w:color w:val="auto"/>
        </w:rPr>
      </w:pPr>
      <w:r>
        <w:rPr>
          <w:rFonts w:ascii="Arial" w:cs="Arial" w:eastAsia="Arial" w:hAnsi="Arial"/>
          <w:sz w:val="18"/>
          <w:szCs w:val="18"/>
          <w:b w:val="1"/>
          <w:bCs w:val="1"/>
          <w:color w:val="auto"/>
        </w:rPr>
        <w:t>Nominating &amp; Governance Committee.</w:t>
      </w:r>
      <w:r>
        <w:rPr>
          <w:sz w:val="20"/>
          <w:szCs w:val="20"/>
          <w:color w:val="auto"/>
        </w:rPr>
        <w:tab/>
      </w:r>
      <w:r>
        <w:rPr>
          <w:rFonts w:ascii="Arial" w:cs="Arial" w:eastAsia="Arial" w:hAnsi="Arial"/>
          <w:sz w:val="16"/>
          <w:szCs w:val="16"/>
          <w:color w:val="auto"/>
        </w:rPr>
        <w:t>The Nominating &amp; Governance Committee's duties and responsibilities include, among others:</w:t>
      </w:r>
    </w:p>
    <w:p>
      <w:pPr>
        <w:spacing w:after="0" w:line="23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recommending to the Board the exact number of directors to constitute the full Board;</w:t>
      </w:r>
    </w:p>
    <w:p>
      <w:pPr>
        <w:spacing w:after="0" w:line="211" w:lineRule="exact"/>
        <w:rPr>
          <w:rFonts w:ascii="Arial" w:cs="Arial" w:eastAsia="Arial" w:hAnsi="Arial"/>
          <w:sz w:val="18"/>
          <w:szCs w:val="18"/>
          <w:color w:val="auto"/>
        </w:rPr>
      </w:pPr>
    </w:p>
    <w:p>
      <w:pPr>
        <w:ind w:left="1080" w:right="78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director nominees for the annual meeting of shareholders;</w:t>
      </w:r>
    </w:p>
    <w:p>
      <w:pPr>
        <w:spacing w:after="0" w:line="195" w:lineRule="exact"/>
        <w:rPr>
          <w:rFonts w:ascii="Arial" w:cs="Arial" w:eastAsia="Arial" w:hAnsi="Arial"/>
          <w:sz w:val="18"/>
          <w:szCs w:val="18"/>
          <w:color w:val="auto"/>
        </w:rPr>
      </w:pPr>
    </w:p>
    <w:p>
      <w:pPr>
        <w:ind w:left="1080" w:right="102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change in Board compensation or stock ownership guidelines recommended by the Compensation &amp; Human Resources Committee;</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211"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amendments or changes to our Restated Certificate of Incorporation or Amended and Restated Bylaws;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Overseeing the evaluation of the Board and Management and leading the Board in its annual review of the Board's performance; and</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212" w:lineRule="exact"/>
        <w:rPr>
          <w:sz w:val="20"/>
          <w:szCs w:val="20"/>
          <w:color w:val="auto"/>
        </w:rPr>
      </w:pPr>
    </w:p>
    <w:p>
      <w:pPr>
        <w:ind w:right="260" w:firstLine="391"/>
        <w:spacing w:after="0" w:line="239" w:lineRule="auto"/>
        <w:rPr>
          <w:sz w:val="20"/>
          <w:szCs w:val="20"/>
          <w:color w:val="auto"/>
        </w:rPr>
      </w:pPr>
      <w:r>
        <w:rPr>
          <w:rFonts w:ascii="Arial" w:cs="Arial" w:eastAsia="Arial" w:hAnsi="Arial"/>
          <w:sz w:val="18"/>
          <w:szCs w:val="18"/>
          <w:color w:val="auto"/>
        </w:rPr>
        <w:t>With respect to recommending director nominees for re-election at the annual meeting, the Nominating &amp; Governance Committee, with the participation of the Chairman of the Board, annually polls the members of the Board about each director whose term is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expiring. If the Nominating &amp; Governance Committee determines that a director does not continue to have the affirmative support of a majority of the members of the Board, the Nominating &amp; Governance Committee does not recommend the director to stand for re-election.</w:t>
      </w:r>
    </w:p>
    <w:p>
      <w:pPr>
        <w:spacing w:after="0" w:line="209"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color w:val="auto"/>
        </w:rPr>
        <w:t>In identifying new nominees for election to the Board when vacancies occur, the Nominating &amp; Governance Committee first may solicit recommendations for nominees from persons whom the Nominating &amp; Governance Committee believes are likely to be familiar with candidates having the qualifications, skills and characteristics required for Board nominees from time to time. Such persons may include members of the Board and our Management. In addition, the Nominating &amp; Governance Committee may engage a search firm to assist it in identifying and evaluating qualified candidates. The Nominating &amp; Governance Committee has sole authority to retain and terminate any search firm to be used to identify director candidates and has sole authority to approve the search firm's fees and other retention terms.</w:t>
      </w:r>
    </w:p>
    <w:p>
      <w:pPr>
        <w:spacing w:after="0" w:line="210" w:lineRule="exact"/>
        <w:rPr>
          <w:sz w:val="20"/>
          <w:szCs w:val="20"/>
          <w:color w:val="auto"/>
        </w:rPr>
      </w:pPr>
    </w:p>
    <w:p>
      <w:pPr>
        <w:ind w:firstLine="387"/>
        <w:spacing w:after="0" w:line="236" w:lineRule="auto"/>
        <w:rPr>
          <w:sz w:val="20"/>
          <w:szCs w:val="20"/>
          <w:color w:val="auto"/>
        </w:rPr>
      </w:pPr>
      <w:r>
        <w:rPr>
          <w:rFonts w:ascii="Arial" w:cs="Arial" w:eastAsia="Arial" w:hAnsi="Arial"/>
          <w:sz w:val="18"/>
          <w:szCs w:val="18"/>
          <w:color w:val="auto"/>
        </w:rPr>
        <w:t>The Nominating &amp; Governance Committee reviews and evaluates each candidate it believes merits serious consideration, taking into account available information concerning the candidate, any qualifications or criteria for Board membership established by the Board, the existing composition of the Board and other factors that it deems relevant. In conducting its review and evaluation, the Nominating &amp; Governance Committee may solicit the views of Management, Board members and any other individuals it believes may have insight into a candidate. The Nominating &amp; Governance Committee may designate one or more of its members and/or other Board members to interview any proposed candidate. The Nominating &amp; Governance Committee then will make a recommendation of a director nominee to the Board based on business experience, professional expertise, industry experience and geographical representation.</w:t>
      </w:r>
    </w:p>
    <w:p>
      <w:pPr>
        <w:spacing w:after="0" w:line="209" w:lineRule="exact"/>
        <w:rPr>
          <w:sz w:val="20"/>
          <w:szCs w:val="20"/>
          <w:color w:val="auto"/>
        </w:rPr>
      </w:pPr>
    </w:p>
    <w:p>
      <w:pPr>
        <w:ind w:right="60" w:firstLine="387"/>
        <w:spacing w:after="0" w:line="235"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an interest in our business, and have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Nominating &amp; Governance Committee will evaluate candidates recommended by shareholders in the same manner as those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the heading "Shareholder Proposals and Director Nominations for the 2011 Annual Meeting" on page 94.</w:t>
      </w:r>
    </w:p>
    <w:p>
      <w:pPr>
        <w:spacing w:after="0" w:line="215" w:lineRule="exact"/>
        <w:rPr>
          <w:sz w:val="20"/>
          <w:szCs w:val="20"/>
          <w:color w:val="auto"/>
        </w:rPr>
      </w:pPr>
    </w:p>
    <w:p>
      <w:pPr>
        <w:ind w:right="40" w:firstLine="387"/>
        <w:spacing w:after="0" w:line="238" w:lineRule="auto"/>
        <w:rPr>
          <w:sz w:val="20"/>
          <w:szCs w:val="20"/>
          <w:color w:val="auto"/>
        </w:rPr>
      </w:pPr>
      <w:r>
        <w:rPr>
          <w:rFonts w:ascii="Arial" w:cs="Arial" w:eastAsia="Arial" w:hAnsi="Arial"/>
          <w:sz w:val="18"/>
          <w:szCs w:val="18"/>
          <w:color w:val="auto"/>
        </w:rPr>
        <w:t>The Nominating &amp; Governance Committee reviews the adequacy of its charter and its own performance on an annual basis. The Nominating &amp; Governance Committee held two meetings during fiscal 2009. At each of these meetings, the Nominating &amp; Governance Committee met in private session without Management present.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400"/>
        <w:spacing w:after="0"/>
        <w:tabs>
          <w:tab w:leader="none" w:pos="224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6"/>
          <w:szCs w:val="16"/>
          <w:color w:val="auto"/>
        </w:rPr>
        <w:t>The Finance Committee's duties and responsibilities include, among others:</w:t>
      </w:r>
    </w:p>
    <w:p>
      <w:pPr>
        <w:spacing w:after="0" w:line="234"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our financial condition, financial policies and long-range financial objectives;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198" w:lineRule="exact"/>
        <w:rPr>
          <w:rFonts w:ascii="Arial" w:cs="Arial" w:eastAsia="Arial" w:hAnsi="Arial"/>
          <w:sz w:val="18"/>
          <w:szCs w:val="18"/>
          <w:color w:val="auto"/>
        </w:rPr>
      </w:pPr>
    </w:p>
    <w:p>
      <w:pPr>
        <w:ind w:left="1080" w:right="100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cash dividend policy and annual cash dividend level;</w:t>
      </w:r>
    </w:p>
    <w:p>
      <w:pPr>
        <w:spacing w:after="0" w:line="211"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financial impact of acquisition and divestiture transactions on our financial condition and making recommendations to the Board regarding material financial aspects of acquisitions and divestitures;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198" w:lineRule="exact"/>
        <w:rPr>
          <w:rFonts w:ascii="Arial" w:cs="Arial" w:eastAsia="Arial" w:hAnsi="Arial"/>
          <w:sz w:val="18"/>
          <w:szCs w:val="18"/>
          <w:color w:val="auto"/>
        </w:rPr>
      </w:pPr>
    </w:p>
    <w:p>
      <w:pPr>
        <w:ind w:left="1080" w:right="32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financial integration of acquisitions and post-acquisition return on investment and report to the Board the financial implications of acquisitions;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198" w:lineRule="exact"/>
        <w:rPr>
          <w:rFonts w:ascii="Arial" w:cs="Arial" w:eastAsia="Arial" w:hAnsi="Arial"/>
          <w:sz w:val="18"/>
          <w:szCs w:val="18"/>
          <w:color w:val="auto"/>
        </w:rPr>
      </w:pPr>
    </w:p>
    <w:p>
      <w:pPr>
        <w:ind w:left="1080" w:right="20" w:hanging="532"/>
        <w:spacing w:after="0" w:line="23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including annual review of the Management Investment Committee charter, financial performance of benefit plan assets and the performance of the Management Investment Committee in the discharge of its duties; and</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212" w:lineRule="exact"/>
        <w:rPr>
          <w:sz w:val="20"/>
          <w:szCs w:val="20"/>
          <w:color w:val="auto"/>
        </w:rPr>
      </w:pPr>
    </w:p>
    <w:p>
      <w:pPr>
        <w:ind w:right="20" w:firstLine="387"/>
        <w:spacing w:after="0" w:line="239" w:lineRule="auto"/>
        <w:rPr>
          <w:sz w:val="20"/>
          <w:szCs w:val="20"/>
          <w:color w:val="auto"/>
        </w:rPr>
      </w:pPr>
      <w:r>
        <w:rPr>
          <w:rFonts w:ascii="Arial" w:cs="Arial" w:eastAsia="Arial" w:hAnsi="Arial"/>
          <w:sz w:val="18"/>
          <w:szCs w:val="18"/>
          <w:color w:val="auto"/>
        </w:rPr>
        <w:t>The Finance Committee reviews the adequacy of its charter and its own performance on an annual basis. The Finance Committee held three meetings during fiscal 2009. At two of these meetings, the Finance Committee met in private session without Management present.</w:t>
      </w:r>
    </w:p>
    <w:p>
      <w:pPr>
        <w:spacing w:after="0" w:line="187" w:lineRule="exact"/>
        <w:rPr>
          <w:sz w:val="20"/>
          <w:szCs w:val="20"/>
          <w:color w:val="auto"/>
        </w:rPr>
      </w:pPr>
    </w:p>
    <w:p>
      <w:pPr>
        <w:ind w:firstLine="391"/>
        <w:spacing w:after="0" w:line="328"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Executive Committee may exercise all of the powers and authority of the Board, including the power to declare</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on our common stock, during intervals between meetings of the Board. The Executive Committee did not meet during fiscal 2009.</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12" w:lineRule="exact"/>
        <w:rPr>
          <w:sz w:val="20"/>
          <w:szCs w:val="20"/>
          <w:color w:val="auto"/>
        </w:rPr>
      </w:pPr>
    </w:p>
    <w:p>
      <w:pPr>
        <w:ind w:right="20" w:firstLine="391"/>
        <w:spacing w:after="0" w:line="242"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Compensation for our non-employee directors is designed to attract and retain experienced and knowledgeable directors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equity-based compensation in order to align the interests of our directors with those of our shareholders. A substantial portion of our director compensation is linked to our common stock performance, and directors can elect to receive their entire Board remuneration in stock compensation. In addition, to further align the interests of our directors with those of our shareholders, within five years of joining the Board, each director is expected to own a dollar value of our common stock equal to at least two times the director's annual cash retainer for Board</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service. As of January 20, 2010, each of our directors has satisfied these stock ownership guidelines.</w:t>
      </w:r>
    </w:p>
    <w:p>
      <w:pPr>
        <w:spacing w:after="0" w:line="212" w:lineRule="exact"/>
        <w:rPr>
          <w:sz w:val="20"/>
          <w:szCs w:val="20"/>
          <w:color w:val="auto"/>
        </w:rPr>
      </w:pPr>
    </w:p>
    <w:p>
      <w:pPr>
        <w:ind w:firstLine="391"/>
        <w:spacing w:after="0" w:line="281" w:lineRule="auto"/>
        <w:rPr>
          <w:sz w:val="20"/>
          <w:szCs w:val="20"/>
          <w:color w:val="auto"/>
        </w:rPr>
      </w:pPr>
      <w:r>
        <w:rPr>
          <w:rFonts w:ascii="Arial" w:cs="Arial" w:eastAsia="Arial" w:hAnsi="Arial"/>
          <w:sz w:val="16"/>
          <w:szCs w:val="16"/>
          <w:color w:val="auto"/>
        </w:rPr>
        <w:t>Our compensation for our non-employee directors for fiscal 2009 was comprised of both cash compensation, in the form of annual retainers and meeting fees, and equity compensation, in the form of automatic annual stock awards and automatic annual stock option grants. Each of these components is described in more detail below. Employee directors do not receive any additional compensation for their director service.</w:t>
      </w:r>
    </w:p>
    <w:p>
      <w:pPr>
        <w:spacing w:after="0" w:line="156"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b w:val="1"/>
          <w:bCs w:val="1"/>
          <w:color w:val="auto"/>
        </w:rPr>
        <w:t xml:space="preserve">Processes and Procedures for Consideration and Determination of Director Compensation. </w:t>
      </w:r>
      <w:r>
        <w:rPr>
          <w:rFonts w:ascii="Arial" w:cs="Arial" w:eastAsia="Arial" w:hAnsi="Arial"/>
          <w:sz w:val="18"/>
          <w:szCs w:val="18"/>
          <w:color w:val="auto"/>
        </w:rPr>
        <w:t>The Board has delegated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&amp; Human Resources Committee the responsibility, among other things, to review no less than biannually and recommend any proposed changes in non-employee director compensation to the Nominating &amp; Governance Committee, taking into account director compensation at comparable companies. The Compensation &amp; Human Resources Committee most recently reviewed non-employee director compensation in fiscal 2007. In fiscal 2009, the Compensation &amp; Human Resources Committee deferred its review of non-employee director compensation given the worldwide recessionary economic conditions and the resulting impact on the Company's business. It is anticipated that the Compensation &amp; Human Resources Committee will review non-employee director compensation in fiscal 2010. Decisions regarding non-employee director compensation made by the Compensation &amp; Human Resources Committee and the Nominating &amp; Governance Committee are not considered final but are subject to review and approval by the Board.</w:t>
      </w:r>
    </w:p>
    <w:p>
      <w:pPr>
        <w:spacing w:after="0" w:line="192" w:lineRule="exact"/>
        <w:rPr>
          <w:sz w:val="20"/>
          <w:szCs w:val="20"/>
          <w:color w:val="auto"/>
        </w:rPr>
      </w:pPr>
    </w:p>
    <w:p>
      <w:pPr>
        <w:ind w:left="400"/>
        <w:spacing w:after="0"/>
        <w:tabs>
          <w:tab w:leader="none" w:pos="3580" w:val="left"/>
        </w:tabs>
        <w:rPr>
          <w:sz w:val="20"/>
          <w:szCs w:val="20"/>
          <w:color w:val="auto"/>
        </w:rPr>
      </w:pPr>
      <w:r>
        <w:rPr>
          <w:rFonts w:ascii="Arial" w:cs="Arial" w:eastAsia="Arial" w:hAnsi="Arial"/>
          <w:sz w:val="18"/>
          <w:szCs w:val="18"/>
          <w:b w:val="1"/>
          <w:bCs w:val="1"/>
          <w:color w:val="auto"/>
        </w:rPr>
        <w:t>Annual Retainers and Meeting Fees.</w:t>
      </w:r>
      <w:r>
        <w:rPr>
          <w:sz w:val="20"/>
          <w:szCs w:val="20"/>
          <w:color w:val="auto"/>
        </w:rPr>
        <w:tab/>
      </w:r>
      <w:r>
        <w:rPr>
          <w:rFonts w:ascii="Arial" w:cs="Arial" w:eastAsia="Arial" w:hAnsi="Arial"/>
          <w:sz w:val="16"/>
          <w:szCs w:val="16"/>
          <w:color w:val="auto"/>
        </w:rPr>
        <w:t>All non-employee directors (including committee chairs and our presiding non-management director)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are entitled to receive the following annual retainers and meeting fees:</w:t>
      </w:r>
    </w:p>
    <w:p>
      <w:pPr>
        <w:spacing w:after="0" w:line="21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board retainer of $40,000;</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Board meeting fees of $1,500 per meeting attended in person;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Committee meeting fees of $1,250 per meeting attended in person;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Telephonic Board and Committee meeting fees of $500 per meeting.</w:t>
      </w:r>
    </w:p>
    <w:p>
      <w:pPr>
        <w:spacing w:after="0" w:line="212" w:lineRule="exact"/>
        <w:rPr>
          <w:sz w:val="20"/>
          <w:szCs w:val="20"/>
          <w:color w:val="auto"/>
        </w:rPr>
      </w:pPr>
    </w:p>
    <w:p>
      <w:pPr>
        <w:ind w:right="40" w:firstLine="381"/>
        <w:spacing w:after="0" w:line="239" w:lineRule="auto"/>
        <w:rPr>
          <w:sz w:val="20"/>
          <w:szCs w:val="20"/>
          <w:color w:val="auto"/>
        </w:rPr>
      </w:pPr>
      <w:r>
        <w:rPr>
          <w:rFonts w:ascii="Arial" w:cs="Arial" w:eastAsia="Arial" w:hAnsi="Arial"/>
          <w:sz w:val="18"/>
          <w:szCs w:val="18"/>
          <w:color w:val="auto"/>
        </w:rPr>
        <w:t>Additionally, committee chairs and our presiding non-management director are entitled to receive the following additional annual retainers and meeting fees:</w:t>
      </w:r>
    </w:p>
    <w:p>
      <w:pPr>
        <w:spacing w:after="0" w:line="223" w:lineRule="exact"/>
        <w:rPr>
          <w:sz w:val="20"/>
          <w:szCs w:val="20"/>
          <w:color w:val="auto"/>
        </w:rPr>
      </w:pPr>
    </w:p>
    <w:p>
      <w:pPr>
        <w:ind w:left="1080" w:right="2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Chair receives an additional annual chair retainer of $5,000 and an additional per Audit Committee meeting fee of $2,000;</w:t>
      </w:r>
    </w:p>
    <w:p>
      <w:pPr>
        <w:spacing w:after="0" w:line="195"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&amp; Human Resources Committee Chair receives an additional annual chair retainer of $5,000 and an additional per Compensation &amp; Human Resource Committee meeting fee of $1,000;</w:t>
      </w:r>
    </w:p>
    <w:p>
      <w:pPr>
        <w:spacing w:after="0" w:line="195" w:lineRule="exact"/>
        <w:rPr>
          <w:rFonts w:ascii="Arial" w:cs="Arial" w:eastAsia="Arial" w:hAnsi="Arial"/>
          <w:sz w:val="18"/>
          <w:szCs w:val="18"/>
          <w:color w:val="auto"/>
        </w:rPr>
      </w:pPr>
    </w:p>
    <w:p>
      <w:pPr>
        <w:ind w:left="1080" w:right="68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Nominating &amp; Governance Committee Chair receives an additional annual chair retainer of $2,500 and an additional per Nominating &amp; Governance Committee meeting fee of $1,000;</w:t>
      </w:r>
    </w:p>
    <w:p>
      <w:pPr>
        <w:spacing w:after="0" w:line="208" w:lineRule="exact"/>
        <w:rPr>
          <w:rFonts w:ascii="Arial" w:cs="Arial" w:eastAsia="Arial" w:hAnsi="Arial"/>
          <w:sz w:val="18"/>
          <w:szCs w:val="18"/>
          <w:color w:val="auto"/>
        </w:rPr>
      </w:pPr>
    </w:p>
    <w:p>
      <w:pPr>
        <w:ind w:left="1080" w:right="54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Finance Committee Chair receives an additional annual chair retainer of $2,500 and an additional per Finance Committee meeting fee of $1,000;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presiding non-management director receives an additional annual retainer of $7,500.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firstLine="381"/>
        <w:spacing w:after="0" w:line="236" w:lineRule="auto"/>
        <w:rPr>
          <w:sz w:val="20"/>
          <w:szCs w:val="20"/>
          <w:color w:val="auto"/>
        </w:rPr>
      </w:pPr>
      <w:r>
        <w:rPr>
          <w:rFonts w:ascii="Arial" w:cs="Arial" w:eastAsia="Arial" w:hAnsi="Arial"/>
          <w:sz w:val="18"/>
          <w:szCs w:val="18"/>
          <w:color w:val="auto"/>
        </w:rPr>
        <w:t>Annual board, chair and additional retainers and meeting fees are paid in cash on a calendar year basis, unless a director elects to convert all or a part of his or her annual retainers and/or meeting fees into shares of our common stock under The Toro Company 2000 Directors Stock Plan, or 2000 Directors Stock Plan, or defer receipt of all or a part of his or her annual retainers and/or meeting fees under The Toro Company Deferred Compensation Plan for Non-Employee Directors. Annual retainers are paid in advance and meeting fees are paid in arrears in four quarterly installments on each of January 1, April 1, July 1 and October 1. For example, the annual retainers paid on January 1 are for the period from January 1 through March 31 and meeting fees paid on January 1 cover meetings attended from October 1 through December 31 of the previous calendar year.</w:t>
      </w:r>
    </w:p>
    <w:p>
      <w:pPr>
        <w:spacing w:after="0" w:line="209" w:lineRule="exact"/>
        <w:rPr>
          <w:sz w:val="20"/>
          <w:szCs w:val="20"/>
          <w:color w:val="auto"/>
        </w:rPr>
      </w:pPr>
    </w:p>
    <w:p>
      <w:pPr>
        <w:ind w:right="240" w:firstLine="391"/>
        <w:spacing w:after="0" w:line="239" w:lineRule="auto"/>
        <w:rPr>
          <w:sz w:val="20"/>
          <w:szCs w:val="20"/>
          <w:color w:val="auto"/>
        </w:rPr>
      </w:pPr>
      <w:r>
        <w:rPr>
          <w:rFonts w:ascii="Arial" w:cs="Arial" w:eastAsia="Arial" w:hAnsi="Arial"/>
          <w:sz w:val="18"/>
          <w:szCs w:val="18"/>
          <w:color w:val="auto"/>
        </w:rPr>
        <w:t>Robert C. Buhrmaster served as our presiding non-management director during fiscal 2009. The table on page 17 shows the Chair of each Board committee and on which Board committees the individual directors serve.</w:t>
      </w:r>
    </w:p>
    <w:p>
      <w:pPr>
        <w:spacing w:after="0" w:line="187" w:lineRule="exact"/>
        <w:rPr>
          <w:sz w:val="20"/>
          <w:szCs w:val="20"/>
          <w:color w:val="auto"/>
        </w:rPr>
      </w:pPr>
    </w:p>
    <w:p>
      <w:pPr>
        <w:ind w:right="20" w:firstLine="391"/>
        <w:spacing w:after="0" w:line="238" w:lineRule="auto"/>
        <w:rPr>
          <w:sz w:val="20"/>
          <w:szCs w:val="20"/>
          <w:color w:val="auto"/>
        </w:rPr>
      </w:pPr>
      <w:r>
        <w:rPr>
          <w:rFonts w:ascii="Arial" w:cs="Arial" w:eastAsia="Arial" w:hAnsi="Arial"/>
          <w:sz w:val="18"/>
          <w:szCs w:val="18"/>
          <w:b w:val="1"/>
          <w:bCs w:val="1"/>
          <w:color w:val="auto"/>
        </w:rPr>
        <w:t xml:space="preserve">Common Stock in Lieu of Annual Retainers and Meeting Fees. </w:t>
      </w:r>
      <w:r>
        <w:rPr>
          <w:rFonts w:ascii="Arial" w:cs="Arial" w:eastAsia="Arial" w:hAnsi="Arial"/>
          <w:sz w:val="18"/>
          <w:szCs w:val="18"/>
          <w:color w:val="auto"/>
        </w:rPr>
        <w:t>Our non-employee directors may elect to convert all or a part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annual retainers and meeting fees otherwise payable in cash into shares of our common stock under the 2000 Directors Stock Plan. Annual retainers and meeting fees that are earned after the date a director makes an election for a calendar year are issued in December of that year. The number of shares of our common stock to be issued is determined by dividing the dollar amount of the annual retainers and meeting fees to be converted into shares of our common stock by the closing price of our common stock, as reported on the NYSE, on the date that the shares are issued. On December 15, 2009, Gary L. Ellis received 1,618 shares of our common stock in lieu of $66,750 earned for his annual board and chair retainers and meeting fees and Inge G. Thulin received 1,041 shares of our common stock in lieu of $42,938 for his annual board retainer and meeting fees. For Messrs. Ellis and Thulin these annual retainers and meeting fees represented 100% and 75%, respectively, of (a) annual retainers for January 1, 2009 through December 31, 2009, which were accrued in quarterly installments on each of January 1, 2009, April 1, 2009, July 1, 2009 and October 1, 2009, and (b) meeting fees for October 1, 2008 through September 30, 2009, which were accrued in quarterly installments on each of January 1, 2009, April 1, 2009, July 1, 2009 and October 1, 2009.</w:t>
      </w:r>
    </w:p>
    <w:p>
      <w:pPr>
        <w:spacing w:after="0" w:line="187" w:lineRule="exact"/>
        <w:rPr>
          <w:sz w:val="20"/>
          <w:szCs w:val="20"/>
          <w:color w:val="auto"/>
        </w:rPr>
      </w:pPr>
    </w:p>
    <w:p>
      <w:pPr>
        <w:ind w:right="180" w:firstLine="391"/>
        <w:spacing w:after="0"/>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Stock awards are designed to link non-employee director compensation with shareholder interests. On the first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our fiscal year (usually November 1), each non-employee director is automatically awarded shares of our common stock under the 2000 Directors Stock Plan in an amount equal to $20,000 divided by the average of the closing prices of our common stock, as reported on the NYSE, during the three months prior to the award. Accordingly, on November 3, 2008, the first business day of fiscal 2009, 534 shares were awarded to each non-employee director based on a three-month average closing price of our common stock, as reported on the NYSE, of $37.464. The shares awarded are fully vested at the time of grant.</w:t>
      </w:r>
    </w:p>
    <w:p>
      <w:pPr>
        <w:spacing w:after="0" w:line="190" w:lineRule="exact"/>
        <w:rPr>
          <w:sz w:val="20"/>
          <w:szCs w:val="20"/>
          <w:color w:val="auto"/>
        </w:rPr>
      </w:pPr>
    </w:p>
    <w:p>
      <w:pPr>
        <w:ind w:firstLine="391"/>
        <w:spacing w:after="0" w:line="244" w:lineRule="auto"/>
        <w:rPr>
          <w:sz w:val="20"/>
          <w:szCs w:val="20"/>
          <w:color w:val="auto"/>
        </w:rPr>
      </w:pPr>
      <w:r>
        <w:rPr>
          <w:rFonts w:ascii="Arial" w:cs="Arial" w:eastAsia="Arial" w:hAnsi="Arial"/>
          <w:sz w:val="18"/>
          <w:szCs w:val="18"/>
          <w:b w:val="1"/>
          <w:bCs w:val="1"/>
          <w:color w:val="auto"/>
        </w:rPr>
        <w:t xml:space="preserve">Stock Option Grants. </w:t>
      </w:r>
      <w:r>
        <w:rPr>
          <w:rFonts w:ascii="Arial" w:cs="Arial" w:eastAsia="Arial" w:hAnsi="Arial"/>
          <w:sz w:val="18"/>
          <w:szCs w:val="18"/>
          <w:color w:val="auto"/>
        </w:rPr>
        <w:t>Stock option grants also are designed to link non-employee director compensation with shareholder interests.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business day of our fiscal year, each non-employee director is automatically granted a stock option to purchase shares of our common stock under the 2000 Directors Stock Plan in an amount equal to $40,000 divided by the fair value of a stock option to purchase one share of common stock.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fiscal 2009, fair value was determined using a Black-Scholes valuation method based on assumptions for the business day prior to the date of grant. Accordingly, on November 3, 2008, each non-employee director was granted a stock option to purchase 3,337 shares of our common stock, based on a fair value of $11.99. The exercise price per share of these stock options is equal to 100% of the fair market value of one share of our common stock on the date of grant, as determined by the closing price of our common stock as reported on the NYSE, which was $33.78 on November 3, 2008. Except as described below, these stock options vest in three approximately equal installments on each of the first, second and third year anniversaries of the date of grant and remain exercisable for a term of 10 years after the date of grant.</w:t>
      </w:r>
    </w:p>
    <w:p>
      <w:pPr>
        <w:spacing w:after="0" w:line="210" w:lineRule="exact"/>
        <w:rPr>
          <w:sz w:val="20"/>
          <w:szCs w:val="20"/>
          <w:color w:val="auto"/>
        </w:rPr>
      </w:pPr>
    </w:p>
    <w:p>
      <w:pPr>
        <w:ind w:right="280" w:firstLine="391"/>
        <w:spacing w:after="0" w:line="237" w:lineRule="auto"/>
        <w:rPr>
          <w:sz w:val="20"/>
          <w:szCs w:val="20"/>
          <w:color w:val="auto"/>
        </w:rPr>
      </w:pPr>
      <w:r>
        <w:rPr>
          <w:rFonts w:ascii="Arial" w:cs="Arial" w:eastAsia="Arial" w:hAnsi="Arial"/>
          <w:sz w:val="18"/>
          <w:szCs w:val="18"/>
          <w:color w:val="auto"/>
        </w:rPr>
        <w:t>If a director becomes disabled or dies and the director's outstanding unvested stock options granted under the 2000 Directors Stock Plan have not expired previously, all outstanding unvested stock options will vest in full on the date the director's service ceases by reason of such disability or death. In addition, the director's guardian or legal representative may exercise the stock options not later than the earlier of the date the stock options expire or one year after the date the director's service ceased by reason of such disability or death.</w:t>
      </w:r>
    </w:p>
    <w:p>
      <w:pPr>
        <w:spacing w:after="0" w:line="209"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If a director has served as a member of the Board for 10 full fiscal years or longer and terminates his or her service on the Board,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10 full fiscal years and terminates his or her service on the Board,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10 full fiscal years or longer: Robert C. Buhrmaster, Winslow H. Buxton, Janet K. Cooper, Robert H. Nassau, Gregg W. Steinhafel and Christopher A. Twomey. Additionally, upon the completion of fiscal 2010, Katherine J. Harless will have served as a member of the Board for 10 full fiscal years.</w:t>
      </w:r>
    </w:p>
    <w:p>
      <w:pPr>
        <w:spacing w:after="0" w:line="187"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color w:val="auto"/>
        </w:rPr>
        <w:t>Stock options granted under the 2000 Directors Stock Plan will vest if there is a change of control of the Company and will remain exercisable for three years following the change of control, but not later than the date the stock options expire. Generally, and subject to some exceptions, a change of control is deemed to have occurred if: (a) another person becomes the beneficial owner of at least 15%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40" w:firstLine="391"/>
        <w:spacing w:after="0" w:line="280" w:lineRule="auto"/>
        <w:rPr>
          <w:sz w:val="20"/>
          <w:szCs w:val="20"/>
          <w:color w:val="auto"/>
        </w:rPr>
      </w:pPr>
      <w:r>
        <w:rPr>
          <w:rFonts w:ascii="Arial" w:cs="Arial" w:eastAsia="Arial" w:hAnsi="Arial"/>
          <w:sz w:val="16"/>
          <w:szCs w:val="16"/>
          <w:b w:val="1"/>
          <w:bCs w:val="1"/>
          <w:color w:val="auto"/>
        </w:rPr>
        <w:t xml:space="preserve">Deferred Compensation Plan. </w:t>
      </w:r>
      <w:r>
        <w:rPr>
          <w:rFonts w:ascii="Arial" w:cs="Arial" w:eastAsia="Arial" w:hAnsi="Arial"/>
          <w:sz w:val="16"/>
          <w:szCs w:val="16"/>
          <w:color w:val="auto"/>
        </w:rPr>
        <w:t>Non-employee directors may elect to defer receipt of all or a part of his or her cash and/or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under The Toro Company Deferred Compensation Plan for Non-Employee Directors, or the Director Deferred Compensation Plan. Cash amounts deferred by a director are credited to a bookkeeping cash account maintained for the director participant and common stock amounts deferred by a director are credited to a bookkeeping common stock unit account maintained for the director participant. Cash accounts accrue interest with the rate of return based on funds that are comparable to the funds available to our employees through the IS&amp;ESOP.</w:t>
      </w:r>
    </w:p>
    <w:p>
      <w:pPr>
        <w:spacing w:after="0" w:line="178" w:lineRule="exact"/>
        <w:rPr>
          <w:sz w:val="20"/>
          <w:szCs w:val="20"/>
          <w:color w:val="auto"/>
        </w:rPr>
      </w:pPr>
    </w:p>
    <w:p>
      <w:pPr>
        <w:ind w:right="500" w:firstLine="391"/>
        <w:spacing w:after="0" w:line="239" w:lineRule="auto"/>
        <w:rPr>
          <w:sz w:val="20"/>
          <w:szCs w:val="20"/>
          <w:color w:val="auto"/>
        </w:rPr>
      </w:pPr>
      <w:r>
        <w:rPr>
          <w:rFonts w:ascii="Arial" w:cs="Arial" w:eastAsia="Arial" w:hAnsi="Arial"/>
          <w:sz w:val="18"/>
          <w:szCs w:val="18"/>
          <w:color w:val="auto"/>
        </w:rPr>
        <w:t>Common stock amounts deferred under the plan are deferred as common stock units that fluctuate in value with the market price of our common stock. Dividends paid on our common stock are credited to a director's account as additional common stock units.</w:t>
      </w:r>
    </w:p>
    <w:p>
      <w:pPr>
        <w:spacing w:after="0" w:line="209" w:lineRule="exact"/>
        <w:rPr>
          <w:sz w:val="20"/>
          <w:szCs w:val="20"/>
          <w:color w:val="auto"/>
        </w:rPr>
      </w:pPr>
    </w:p>
    <w:p>
      <w:pPr>
        <w:ind w:right="620" w:firstLine="381"/>
        <w:spacing w:after="0" w:line="238" w:lineRule="auto"/>
        <w:rPr>
          <w:sz w:val="20"/>
          <w:szCs w:val="20"/>
          <w:color w:val="auto"/>
        </w:rPr>
      </w:pPr>
      <w:r>
        <w:rPr>
          <w:rFonts w:ascii="Arial" w:cs="Arial" w:eastAsia="Arial" w:hAnsi="Arial"/>
          <w:sz w:val="18"/>
          <w:szCs w:val="18"/>
          <w:color w:val="auto"/>
        </w:rPr>
        <w:t>A director participant's cash account and common stock units are at all times fully vested. Distributions under the plan are payable in accordance with the director participant's election upon the earliest of retirement, prior to retirement if a valid election has been made or an unforeseeable financial emergency. The Director Deferred Compensation Plan does not provide for matching contributions by us.</w:t>
      </w:r>
    </w:p>
    <w:p>
      <w:pPr>
        <w:spacing w:after="0" w:line="208" w:lineRule="exact"/>
        <w:rPr>
          <w:sz w:val="20"/>
          <w:szCs w:val="20"/>
          <w:color w:val="auto"/>
        </w:rPr>
      </w:pPr>
    </w:p>
    <w:p>
      <w:pPr>
        <w:ind w:right="160" w:firstLine="391"/>
        <w:spacing w:after="0" w:line="239" w:lineRule="auto"/>
        <w:rPr>
          <w:sz w:val="20"/>
          <w:szCs w:val="20"/>
          <w:color w:val="auto"/>
        </w:rPr>
      </w:pPr>
      <w:r>
        <w:rPr>
          <w:rFonts w:ascii="Arial" w:cs="Arial" w:eastAsia="Arial" w:hAnsi="Arial"/>
          <w:sz w:val="18"/>
          <w:szCs w:val="18"/>
          <w:color w:val="auto"/>
        </w:rPr>
        <w:t>None of our directors deferred any cash compensation earned during fiscal 2009 under the Director Deferred Compensation Plan; however, Mr. Thulin deferred his fiscal 2009 annual stock grant under the Director Deferred Compensation Plan.</w:t>
      </w:r>
    </w:p>
    <w:p>
      <w:pPr>
        <w:spacing w:after="0" w:line="187" w:lineRule="exact"/>
        <w:rPr>
          <w:sz w:val="20"/>
          <w:szCs w:val="20"/>
          <w:color w:val="auto"/>
        </w:rPr>
      </w:pPr>
    </w:p>
    <w:p>
      <w:pPr>
        <w:ind w:right="120" w:firstLine="391"/>
        <w:spacing w:after="0" w:line="249" w:lineRule="auto"/>
        <w:rPr>
          <w:sz w:val="20"/>
          <w:szCs w:val="20"/>
          <w:color w:val="auto"/>
        </w:rPr>
      </w:pPr>
      <w:r>
        <w:rPr>
          <w:rFonts w:ascii="Arial" w:cs="Arial" w:eastAsia="Arial" w:hAnsi="Arial"/>
          <w:sz w:val="18"/>
          <w:szCs w:val="18"/>
          <w:b w:val="1"/>
          <w:bCs w:val="1"/>
          <w:color w:val="auto"/>
        </w:rPr>
        <w:t xml:space="preserve">Company Products. </w:t>
      </w:r>
      <w:r>
        <w:rPr>
          <w:rFonts w:ascii="Arial" w:cs="Arial" w:eastAsia="Arial" w:hAnsi="Arial"/>
          <w:sz w:val="18"/>
          <w:szCs w:val="18"/>
          <w:color w:val="auto"/>
        </w:rPr>
        <w:t>Each of our non-employee directors is entitled to receive certain Company products for his or her personal use at no</w:t>
      </w:r>
      <w:r>
        <w:rPr>
          <w:rFonts w:ascii="Arial" w:cs="Arial" w:eastAsia="Arial" w:hAnsi="Arial"/>
          <w:sz w:val="18"/>
          <w:szCs w:val="18"/>
          <w:b w:val="1"/>
          <w:bCs w:val="1"/>
          <w:color w:val="auto"/>
        </w:rPr>
        <w:t xml:space="preserve"> </w:t>
      </w:r>
      <w:r>
        <w:rPr>
          <w:rFonts w:ascii="Arial" w:cs="Arial" w:eastAsia="Arial" w:hAnsi="Arial"/>
          <w:sz w:val="18"/>
          <w:szCs w:val="18"/>
          <w:color w:val="auto"/>
        </w:rPr>
        <w:t>charge, with an $8,000 lifetime limit on installation and parts for an irrigation system. The value of any products or irrigation parts ordered by a director during a calendar year is included on the director's 1099 for that calendar year.</w:t>
      </w:r>
    </w:p>
    <w:p>
      <w:pPr>
        <w:spacing w:after="0" w:line="180" w:lineRule="exact"/>
        <w:rPr>
          <w:sz w:val="20"/>
          <w:szCs w:val="20"/>
          <w:color w:val="auto"/>
        </w:rPr>
      </w:pPr>
    </w:p>
    <w:p>
      <w:pPr>
        <w:ind w:firstLine="391"/>
        <w:spacing w:after="0" w:line="249" w:lineRule="auto"/>
        <w:rPr>
          <w:sz w:val="20"/>
          <w:szCs w:val="20"/>
          <w:color w:val="auto"/>
        </w:rPr>
      </w:pPr>
      <w:r>
        <w:rPr>
          <w:rFonts w:ascii="Arial" w:cs="Arial" w:eastAsia="Arial" w:hAnsi="Arial"/>
          <w:sz w:val="18"/>
          <w:szCs w:val="18"/>
          <w:b w:val="1"/>
          <w:bCs w:val="1"/>
          <w:color w:val="auto"/>
        </w:rPr>
        <w:t xml:space="preserve">Charitable Giving. </w:t>
      </w:r>
      <w:r>
        <w:rPr>
          <w:rFonts w:ascii="Arial" w:cs="Arial" w:eastAsia="Arial" w:hAnsi="Arial"/>
          <w:sz w:val="18"/>
          <w:szCs w:val="18"/>
          <w:color w:val="auto"/>
        </w:rPr>
        <w:t>Support of our directors' charitable organizations is made in accordance with the Company's Matching Gift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provides that a gift in the amount of $25 to $1,000 by a director and/or his or her spouse to educational and/or environmental institutions and public broadcasting organizations will be matched by us in an aggregate amount of up to $1,000 per director per year.</w:t>
      </w:r>
    </w:p>
    <w:p>
      <w:pPr>
        <w:spacing w:after="0" w:line="180" w:lineRule="exact"/>
        <w:rPr>
          <w:sz w:val="20"/>
          <w:szCs w:val="20"/>
          <w:color w:val="auto"/>
        </w:rPr>
      </w:pPr>
    </w:p>
    <w:p>
      <w:pPr>
        <w:ind w:right="40" w:firstLine="391"/>
        <w:spacing w:after="0" w:line="249" w:lineRule="auto"/>
        <w:rPr>
          <w:sz w:val="20"/>
          <w:szCs w:val="20"/>
          <w:color w:val="auto"/>
        </w:rPr>
      </w:pPr>
      <w:r>
        <w:rPr>
          <w:rFonts w:ascii="Arial" w:cs="Arial" w:eastAsia="Arial" w:hAnsi="Arial"/>
          <w:sz w:val="18"/>
          <w:szCs w:val="18"/>
          <w:b w:val="1"/>
          <w:bCs w:val="1"/>
          <w:color w:val="auto"/>
        </w:rPr>
        <w:t xml:space="preserve">Indemnification and D&amp;O Insurance. </w:t>
      </w:r>
      <w:r>
        <w:rPr>
          <w:rFonts w:ascii="Arial" w:cs="Arial" w:eastAsia="Arial" w:hAnsi="Arial"/>
          <w:sz w:val="18"/>
          <w:szCs w:val="18"/>
          <w:color w:val="auto"/>
        </w:rPr>
        <w:t>Each director is a party to an indemnification agreement with us that assures the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and advancement of expenses to the fullest extent permitted by Delaware law and our Restated Certificate of Incorporation, and of continued coverage under our directors and officers liability insurance, to the extent it is maintained.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80" w:firstLine="391"/>
        <w:spacing w:after="0" w:line="296" w:lineRule="auto"/>
        <w:rPr>
          <w:sz w:val="20"/>
          <w:szCs w:val="20"/>
          <w:color w:val="auto"/>
        </w:rPr>
      </w:pPr>
      <w:r>
        <w:rPr>
          <w:rFonts w:ascii="Arial" w:cs="Arial" w:eastAsia="Arial" w:hAnsi="Arial"/>
          <w:sz w:val="16"/>
          <w:szCs w:val="16"/>
          <w:b w:val="1"/>
          <w:bCs w:val="1"/>
          <w:color w:val="auto"/>
        </w:rPr>
        <w:t xml:space="preserve">Director Compensation for Fiscal 2009. </w:t>
      </w:r>
      <w:r>
        <w:rPr>
          <w:rFonts w:ascii="Arial" w:cs="Arial" w:eastAsia="Arial" w:hAnsi="Arial"/>
          <w:sz w:val="16"/>
          <w:szCs w:val="16"/>
          <w:color w:val="auto"/>
        </w:rPr>
        <w:t>The following table provides summary information concerning the compensation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who served as a director during fiscal 2009, other than Michael J. Hoffman, our Chairman and CEO, who is not compensated separately for his service as a director and whose compensation is set forth under the heading "Executive Compensation" beginning on page 32.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Change in</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Pension</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gridSpan w:val="2"/>
            <w:vMerge w:val="restart"/>
          </w:tcPr>
          <w:p>
            <w:pPr>
              <w:jc w:val="center"/>
              <w:ind w:left="432"/>
              <w:spacing w:after="0"/>
              <w:rPr>
                <w:sz w:val="20"/>
                <w:szCs w:val="20"/>
                <w:color w:val="auto"/>
              </w:rPr>
            </w:pPr>
            <w:r>
              <w:rPr>
                <w:rFonts w:ascii="Arial" w:cs="Arial" w:eastAsia="Arial" w:hAnsi="Arial"/>
                <w:sz w:val="18"/>
                <w:szCs w:val="18"/>
                <w:b w:val="1"/>
                <w:bCs w:val="1"/>
                <w:color w:val="auto"/>
                <w:w w:val="97"/>
              </w:rPr>
              <w:t>Fees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Value and</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7"/>
              </w:rPr>
              <w:t>Nonqualified</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gridSpan w:val="2"/>
          </w:tcPr>
          <w:p>
            <w:pPr>
              <w:jc w:val="center"/>
              <w:ind w:left="412"/>
              <w:spacing w:after="0" w:line="202" w:lineRule="exact"/>
              <w:rPr>
                <w:sz w:val="20"/>
                <w:szCs w:val="20"/>
                <w:color w:val="auto"/>
              </w:rPr>
            </w:pPr>
            <w:r>
              <w:rPr>
                <w:rFonts w:ascii="Arial" w:cs="Arial" w:eastAsia="Arial" w:hAnsi="Arial"/>
                <w:sz w:val="18"/>
                <w:szCs w:val="18"/>
                <w:b w:val="1"/>
                <w:bCs w:val="1"/>
                <w:color w:val="auto"/>
                <w:w w:val="97"/>
              </w:rPr>
              <w:t>Earned or</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Deferred</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gridSpan w:val="2"/>
          </w:tcPr>
          <w:p>
            <w:pPr>
              <w:jc w:val="center"/>
              <w:ind w:left="412"/>
              <w:spacing w:after="0" w:line="202" w:lineRule="exact"/>
              <w:rPr>
                <w:sz w:val="20"/>
                <w:szCs w:val="20"/>
                <w:color w:val="auto"/>
              </w:rPr>
            </w:pPr>
            <w:r>
              <w:rPr>
                <w:rFonts w:ascii="Arial" w:cs="Arial" w:eastAsia="Arial" w:hAnsi="Arial"/>
                <w:sz w:val="18"/>
                <w:szCs w:val="18"/>
                <w:b w:val="1"/>
                <w:bCs w:val="1"/>
                <w:color w:val="auto"/>
                <w:w w:val="98"/>
              </w:rPr>
              <w:t>Paid in</w:t>
            </w:r>
          </w:p>
        </w:tc>
        <w:tc>
          <w:tcPr>
            <w:tcW w:w="200" w:type="dxa"/>
            <w:vAlign w:val="bottom"/>
          </w:tcPr>
          <w:p>
            <w:pPr>
              <w:spacing w:after="0"/>
              <w:rPr>
                <w:sz w:val="17"/>
                <w:szCs w:val="17"/>
                <w:color w:val="auto"/>
              </w:rPr>
            </w:pPr>
          </w:p>
        </w:tc>
        <w:tc>
          <w:tcPr>
            <w:tcW w:w="760" w:type="dxa"/>
            <w:vAlign w:val="bottom"/>
          </w:tcPr>
          <w:p>
            <w:pPr>
              <w:jc w:val="center"/>
              <w:ind w:right="114"/>
              <w:spacing w:after="0" w:line="202" w:lineRule="exact"/>
              <w:rPr>
                <w:sz w:val="20"/>
                <w:szCs w:val="20"/>
                <w:color w:val="auto"/>
              </w:rPr>
            </w:pPr>
            <w:r>
              <w:rPr>
                <w:rFonts w:ascii="Arial" w:cs="Arial" w:eastAsia="Arial" w:hAnsi="Arial"/>
                <w:sz w:val="18"/>
                <w:szCs w:val="18"/>
                <w:b w:val="1"/>
                <w:bCs w:val="1"/>
                <w:color w:val="auto"/>
                <w:w w:val="97"/>
              </w:rPr>
              <w:t>Stock</w:t>
            </w:r>
          </w:p>
        </w:tc>
        <w:tc>
          <w:tcPr>
            <w:tcW w:w="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Option</w:t>
            </w:r>
          </w:p>
        </w:tc>
        <w:tc>
          <w:tcPr>
            <w:tcW w:w="138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Compensation</w:t>
            </w:r>
          </w:p>
        </w:tc>
        <w:tc>
          <w:tcPr>
            <w:tcW w:w="140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gridSpan w:val="2"/>
          </w:tcPr>
          <w:p>
            <w:pPr>
              <w:jc w:val="center"/>
              <w:ind w:left="412"/>
              <w:spacing w:after="0" w:line="202" w:lineRule="exact"/>
              <w:rPr>
                <w:sz w:val="20"/>
                <w:szCs w:val="20"/>
                <w:color w:val="auto"/>
              </w:rPr>
            </w:pPr>
            <w:r>
              <w:rPr>
                <w:rFonts w:ascii="Arial" w:cs="Arial" w:eastAsia="Arial" w:hAnsi="Arial"/>
                <w:sz w:val="18"/>
                <w:szCs w:val="18"/>
                <w:b w:val="1"/>
                <w:bCs w:val="1"/>
                <w:color w:val="auto"/>
                <w:w w:val="95"/>
              </w:rPr>
              <w:t>Cash</w:t>
            </w:r>
          </w:p>
        </w:tc>
        <w:tc>
          <w:tcPr>
            <w:tcW w:w="9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Awards</w:t>
            </w:r>
          </w:p>
        </w:tc>
        <w:tc>
          <w:tcPr>
            <w:tcW w:w="9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5"/>
              </w:rPr>
              <w:t>Awards</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Earnings</w:t>
            </w:r>
          </w:p>
        </w:tc>
        <w:tc>
          <w:tcPr>
            <w:tcW w:w="14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Compensation</w:t>
            </w:r>
          </w:p>
        </w:tc>
        <w:tc>
          <w:tcPr>
            <w:tcW w:w="240" w:type="dxa"/>
            <w:vAlign w:val="bottom"/>
          </w:tcPr>
          <w:p>
            <w:pPr>
              <w:spacing w:after="0"/>
              <w:rPr>
                <w:sz w:val="17"/>
                <w:szCs w:val="17"/>
                <w:color w:val="auto"/>
              </w:rPr>
            </w:pPr>
          </w:p>
        </w:tc>
        <w:tc>
          <w:tcPr>
            <w:tcW w:w="8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54"/>
              <w:spacing w:after="0" w:line="269" w:lineRule="exact"/>
              <w:rPr>
                <w:sz w:val="20"/>
                <w:szCs w:val="20"/>
                <w:color w:val="auto"/>
              </w:rPr>
            </w:pPr>
            <w:r>
              <w:rPr>
                <w:rFonts w:ascii="Arial" w:cs="Arial" w:eastAsia="Arial" w:hAnsi="Arial"/>
                <w:sz w:val="31"/>
                <w:szCs w:val="31"/>
                <w:b w:val="1"/>
                <w:bCs w:val="1"/>
                <w:color w:val="auto"/>
                <w:w w:val="97"/>
                <w:vertAlign w:val="subscript"/>
              </w:rPr>
              <w:t>)</w:t>
            </w:r>
            <w:r>
              <w:rPr>
                <w:rFonts w:ascii="Arial" w:cs="Arial" w:eastAsia="Arial" w:hAnsi="Arial"/>
                <w:sz w:val="14"/>
                <w:szCs w:val="14"/>
                <w:b w:val="1"/>
                <w:bCs w:val="1"/>
                <w:color w:val="auto"/>
                <w:w w:val="97"/>
              </w:rPr>
              <w:t>(1)(2)</w:t>
            </w:r>
          </w:p>
        </w:tc>
        <w:tc>
          <w:tcPr>
            <w:tcW w:w="200" w:type="dxa"/>
            <w:vAlign w:val="bottom"/>
          </w:tcPr>
          <w:p>
            <w:pPr>
              <w:spacing w:after="0"/>
              <w:rPr>
                <w:sz w:val="23"/>
                <w:szCs w:val="23"/>
                <w:color w:val="auto"/>
              </w:rPr>
            </w:pPr>
          </w:p>
        </w:tc>
        <w:tc>
          <w:tcPr>
            <w:tcW w:w="760" w:type="dxa"/>
            <w:vAlign w:val="bottom"/>
          </w:tcPr>
          <w:p>
            <w:pPr>
              <w:jc w:val="center"/>
              <w:ind w:right="114"/>
              <w:spacing w:after="0" w:line="269" w:lineRule="exact"/>
              <w:rPr>
                <w:sz w:val="20"/>
                <w:szCs w:val="20"/>
                <w:color w:val="auto"/>
              </w:rPr>
            </w:pPr>
            <w:r>
              <w:rPr>
                <w:rFonts w:ascii="Arial" w:cs="Arial" w:eastAsia="Arial" w:hAnsi="Arial"/>
                <w:sz w:val="31"/>
                <w:szCs w:val="31"/>
                <w:b w:val="1"/>
                <w:bCs w:val="1"/>
                <w:color w:val="auto"/>
                <w:w w:val="94"/>
                <w:vertAlign w:val="subscript"/>
              </w:rPr>
              <w:t>($)</w:t>
            </w:r>
            <w:r>
              <w:rPr>
                <w:rFonts w:ascii="Arial" w:cs="Arial" w:eastAsia="Arial" w:hAnsi="Arial"/>
                <w:sz w:val="14"/>
                <w:szCs w:val="14"/>
                <w:b w:val="1"/>
                <w:bCs w:val="1"/>
                <w:color w:val="auto"/>
                <w:w w:val="94"/>
              </w:rPr>
              <w:t>(3)</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4"/>
                <w:szCs w:val="14"/>
                <w:b w:val="1"/>
                <w:bCs w:val="1"/>
                <w:color w:val="auto"/>
              </w:rPr>
              <w:t>(4)(5)</w:t>
            </w:r>
          </w:p>
        </w:tc>
        <w:tc>
          <w:tcPr>
            <w:tcW w:w="740" w:type="dxa"/>
            <w:vAlign w:val="bottom"/>
          </w:tcPr>
          <w:p>
            <w:pPr>
              <w:ind w:left="580"/>
              <w:spacing w:after="0"/>
              <w:rPr>
                <w:sz w:val="20"/>
                <w:szCs w:val="20"/>
                <w:color w:val="auto"/>
              </w:rPr>
            </w:pPr>
            <w:r>
              <w:rPr>
                <w:rFonts w:ascii="Arial" w:cs="Arial" w:eastAsia="Arial" w:hAnsi="Arial"/>
                <w:sz w:val="18"/>
                <w:szCs w:val="18"/>
                <w:b w:val="1"/>
                <w:bCs w:val="1"/>
                <w:color w:val="auto"/>
                <w:w w:val="87"/>
              </w:rPr>
              <w:t>($</w:t>
            </w:r>
          </w:p>
        </w:tc>
        <w:tc>
          <w:tcPr>
            <w:tcW w:w="640" w:type="dxa"/>
            <w:vAlign w:val="bottom"/>
          </w:tcPr>
          <w:p>
            <w:pPr>
              <w:jc w:val="right"/>
              <w:ind w:right="493"/>
              <w:spacing w:after="0"/>
              <w:rPr>
                <w:sz w:val="20"/>
                <w:szCs w:val="20"/>
                <w:color w:val="auto"/>
              </w:rPr>
            </w:pPr>
            <w:r>
              <w:rPr>
                <w:rFonts w:ascii="Arial" w:cs="Arial" w:eastAsia="Arial" w:hAnsi="Arial"/>
                <w:sz w:val="16"/>
                <w:szCs w:val="16"/>
                <w:b w:val="1"/>
                <w:bCs w:val="1"/>
                <w:color w:val="auto"/>
                <w:w w:val="74"/>
              </w:rPr>
              <w:t>)</w:t>
            </w:r>
          </w:p>
        </w:tc>
        <w:tc>
          <w:tcPr>
            <w:tcW w:w="660" w:type="dxa"/>
            <w:vAlign w:val="bottom"/>
          </w:tcPr>
          <w:p>
            <w:pPr>
              <w:ind w:left="500"/>
              <w:spacing w:after="0"/>
              <w:rPr>
                <w:sz w:val="20"/>
                <w:szCs w:val="20"/>
                <w:color w:val="auto"/>
              </w:rPr>
            </w:pPr>
            <w:r>
              <w:rPr>
                <w:rFonts w:ascii="Arial" w:cs="Arial" w:eastAsia="Arial" w:hAnsi="Arial"/>
                <w:sz w:val="18"/>
                <w:szCs w:val="18"/>
                <w:b w:val="1"/>
                <w:bCs w:val="1"/>
                <w:color w:val="auto"/>
                <w:w w:val="87"/>
              </w:rPr>
              <w:t>($</w:t>
            </w:r>
          </w:p>
        </w:tc>
        <w:tc>
          <w:tcPr>
            <w:tcW w:w="740" w:type="dxa"/>
            <w:vAlign w:val="bottom"/>
          </w:tcPr>
          <w:p>
            <w:pPr>
              <w:jc w:val="right"/>
              <w:ind w:right="414"/>
              <w:spacing w:after="0" w:line="269" w:lineRule="exact"/>
              <w:rPr>
                <w:sz w:val="20"/>
                <w:szCs w:val="20"/>
                <w:color w:val="auto"/>
              </w:rPr>
            </w:pPr>
            <w:r>
              <w:rPr>
                <w:rFonts w:ascii="Arial" w:cs="Arial" w:eastAsia="Arial" w:hAnsi="Arial"/>
                <w:sz w:val="31"/>
                <w:szCs w:val="31"/>
                <w:b w:val="1"/>
                <w:bCs w:val="1"/>
                <w:color w:val="auto"/>
                <w:w w:val="91"/>
                <w:vertAlign w:val="subscript"/>
              </w:rPr>
              <w:t>)</w:t>
            </w:r>
            <w:r>
              <w:rPr>
                <w:rFonts w:ascii="Arial" w:cs="Arial" w:eastAsia="Arial" w:hAnsi="Arial"/>
                <w:sz w:val="14"/>
                <w:szCs w:val="14"/>
                <w:b w:val="1"/>
                <w:bCs w:val="1"/>
                <w:color w:val="auto"/>
                <w:w w:val="91"/>
              </w:rPr>
              <w:t>(6)</w:t>
            </w:r>
          </w:p>
        </w:tc>
        <w:tc>
          <w:tcPr>
            <w:tcW w:w="240" w:type="dxa"/>
            <w:vAlign w:val="bottom"/>
          </w:tcPr>
          <w:p>
            <w:pPr>
              <w:spacing w:after="0"/>
              <w:rPr>
                <w:sz w:val="23"/>
                <w:szCs w:val="23"/>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Robert C. Buhrmaster</w:t>
            </w:r>
          </w:p>
        </w:tc>
        <w:tc>
          <w:tcPr>
            <w:tcW w:w="90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72,750</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20,006</w:t>
            </w:r>
          </w:p>
        </w:tc>
        <w:tc>
          <w:tcPr>
            <w:tcW w:w="36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33,570</w:t>
            </w:r>
          </w:p>
        </w:tc>
        <w:tc>
          <w:tcPr>
            <w:tcW w:w="74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66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126,326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Winslow H. Buxton</w:t>
            </w: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69,500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line="202" w:lineRule="exact"/>
              <w:rPr>
                <w:sz w:val="20"/>
                <w:szCs w:val="20"/>
                <w:color w:val="auto"/>
              </w:rPr>
            </w:pPr>
            <w:r>
              <w:rPr>
                <w:rFonts w:ascii="Arial" w:cs="Arial" w:eastAsia="Arial" w:hAnsi="Arial"/>
                <w:sz w:val="18"/>
                <w:szCs w:val="18"/>
                <w:color w:val="auto"/>
              </w:rPr>
              <w:t>33,570</w:t>
            </w:r>
          </w:p>
        </w:tc>
        <w:tc>
          <w:tcPr>
            <w:tcW w:w="7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123,076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Janet K. Cooper</w:t>
            </w: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89,750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33,570</w:t>
            </w:r>
          </w:p>
        </w:tc>
        <w:tc>
          <w:tcPr>
            <w:tcW w:w="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146,971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Gary L. Ellis</w:t>
            </w: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66,750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line="202" w:lineRule="exact"/>
              <w:rPr>
                <w:sz w:val="20"/>
                <w:szCs w:val="20"/>
                <w:color w:val="auto"/>
              </w:rPr>
            </w:pPr>
            <w:r>
              <w:rPr>
                <w:rFonts w:ascii="Arial" w:cs="Arial" w:eastAsia="Arial" w:hAnsi="Arial"/>
                <w:sz w:val="18"/>
                <w:szCs w:val="18"/>
                <w:color w:val="auto"/>
              </w:rPr>
              <w:t>20,514</w:t>
            </w:r>
          </w:p>
        </w:tc>
        <w:tc>
          <w:tcPr>
            <w:tcW w:w="7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107,270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Katherine J. Harless</w:t>
            </w: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20,514</w:t>
            </w:r>
          </w:p>
        </w:tc>
        <w:tc>
          <w:tcPr>
            <w:tcW w:w="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Robert H. Nassau</w:t>
            </w: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66,000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line="202" w:lineRule="exact"/>
              <w:rPr>
                <w:sz w:val="20"/>
                <w:szCs w:val="20"/>
                <w:color w:val="auto"/>
              </w:rPr>
            </w:pPr>
            <w:r>
              <w:rPr>
                <w:rFonts w:ascii="Arial" w:cs="Arial" w:eastAsia="Arial" w:hAnsi="Arial"/>
                <w:sz w:val="18"/>
                <w:szCs w:val="18"/>
                <w:color w:val="auto"/>
              </w:rPr>
              <w:t>33,570</w:t>
            </w:r>
          </w:p>
        </w:tc>
        <w:tc>
          <w:tcPr>
            <w:tcW w:w="7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10,817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130,393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Gregg W. Steinhafel</w:t>
            </w: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57,250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33,570</w:t>
            </w:r>
          </w:p>
        </w:tc>
        <w:tc>
          <w:tcPr>
            <w:tcW w:w="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12,068</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122,894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Inge G. Thulin</w:t>
            </w: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57,250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line="202" w:lineRule="exact"/>
              <w:rPr>
                <w:sz w:val="20"/>
                <w:szCs w:val="20"/>
                <w:color w:val="auto"/>
              </w:rPr>
            </w:pPr>
            <w:r>
              <w:rPr>
                <w:rFonts w:ascii="Arial" w:cs="Arial" w:eastAsia="Arial" w:hAnsi="Arial"/>
                <w:sz w:val="18"/>
                <w:szCs w:val="18"/>
                <w:color w:val="auto"/>
              </w:rPr>
              <w:t>20,514</w:t>
            </w:r>
          </w:p>
        </w:tc>
        <w:tc>
          <w:tcPr>
            <w:tcW w:w="7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97,770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Christopher A. Twomey</w:t>
            </w:r>
          </w:p>
        </w:tc>
        <w:tc>
          <w:tcPr>
            <w:tcW w:w="9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66,250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20,006</w:t>
            </w:r>
          </w:p>
        </w:tc>
        <w:tc>
          <w:tcPr>
            <w:tcW w:w="3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33,570</w:t>
            </w:r>
          </w:p>
        </w:tc>
        <w:tc>
          <w:tcPr>
            <w:tcW w:w="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119,826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hanging="532"/>
        <w:spacing w:after="0" w:line="23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a director otherwise elects to convert all or a part of his or her annual retainers and meetings fees into shares of our common stock as described in footnote 2 below, annual retainers and meeting fees are paid in cash on a calendar year basis. Annual retainers are paid in advance and meeting fees are paid in arrears in four quarterly installments on each of January 1, April 1, July 1 and October 1. The amount reported represents: (a) annual retainers paid on each of January 1, 2009, April 1, 2009 and July 1, 2009, one-third of the annual retainers paid on October 1, 2009, and two-thirds of the annual retainers paid on October 1, 2008, and (b) meeting fees paid on January 1, 2009, with respect to meetings held during November and December 2008, meeting fees paid on April 1, 2009 with respect to meetings held during January, February and March 2009, meeting fees paid on July 1, 2009, with respect to meetings held during April, May and June 2009, meeting fees paid on October 1, 2009, with respect to meeting held during July, August and September 2009, and meeting fees paid on January 1, 2010, with respect to meetings held during October 2009.</w:t>
      </w:r>
    </w:p>
    <w:p>
      <w:pPr>
        <w:spacing w:after="0" w:line="215" w:lineRule="exact"/>
        <w:rPr>
          <w:rFonts w:ascii="Arial" w:cs="Arial" w:eastAsia="Arial" w:hAnsi="Arial"/>
          <w:sz w:val="18"/>
          <w:szCs w:val="18"/>
          <w:color w:val="auto"/>
        </w:rPr>
      </w:pPr>
    </w:p>
    <w:p>
      <w:pPr>
        <w:ind w:left="540" w:right="60" w:hanging="532"/>
        <w:spacing w:after="0" w:line="23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non-employee directors may elect to convert all or a part of their annual retainers and meeting fees otherwise payable in cash into shares of our common stock under the 2000 Directors Stock Plan. The amount reported for each director that has received shares of our common stock in lieu of cash retainers and meeting fees includes the amount of cash retainers and meeting fees earned by such director in fiscal 2009 but paid to such director in shares of our common stock.</w:t>
      </w:r>
    </w:p>
    <w:p>
      <w:pPr>
        <w:spacing w:after="0" w:line="195" w:lineRule="exact"/>
        <w:rPr>
          <w:rFonts w:ascii="Arial" w:cs="Arial" w:eastAsia="Arial" w:hAnsi="Arial"/>
          <w:sz w:val="18"/>
          <w:szCs w:val="18"/>
          <w:color w:val="auto"/>
        </w:rPr>
      </w:pPr>
    </w:p>
    <w:p>
      <w:pPr>
        <w:ind w:left="540" w:right="40" w:hanging="532"/>
        <w:spacing w:after="0" w:line="23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reported represents 100% of the grant date fair value of the annual stock award granted automatically to each of our non-employee directors, which is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40"/>
        <w:spacing w:after="0" w:line="238" w:lineRule="auto"/>
        <w:rPr>
          <w:sz w:val="20"/>
          <w:szCs w:val="20"/>
          <w:color w:val="auto"/>
        </w:rPr>
      </w:pPr>
      <w:r>
        <w:rPr>
          <w:rFonts w:ascii="Arial" w:cs="Arial" w:eastAsia="Arial" w:hAnsi="Arial"/>
          <w:sz w:val="18"/>
          <w:szCs w:val="18"/>
          <w:color w:val="auto"/>
        </w:rPr>
        <w:t>recognized in the year of grant and equals the share-based compensation expense recognized in fiscal 2009. The valuation of these awards was based on the three-month average closing price of our common stock, as reported on the NYSE. As of October 31, 2009, no directors held any restricted stock or other unvested stock awards.</w:t>
      </w:r>
    </w:p>
    <w:p>
      <w:pPr>
        <w:spacing w:after="0" w:line="208" w:lineRule="exact"/>
        <w:rPr>
          <w:sz w:val="20"/>
          <w:szCs w:val="20"/>
          <w:color w:val="auto"/>
        </w:rPr>
      </w:pPr>
    </w:p>
    <w:p>
      <w:pPr>
        <w:ind w:left="540" w:right="80" w:hanging="532"/>
        <w:spacing w:after="0" w:line="236"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 reported represents the share-based compensation expense recognized in fiscal 2009 for the annual stock option automatically granted to each of our non-employee directors on November 3, 2008, which were the only stock options granted to directors during fiscal 2009, and previously granted stock options that vested in fiscal 2009. Compensation expense equal to the grant date fair value of the stock options is recognized over the vesting period. The specific assumptions used in the valuation of the stock options reflected in the amount reported are summarized in the table below:</w:t>
      </w:r>
    </w:p>
    <w:p>
      <w:pPr>
        <w:spacing w:after="0" w:line="185"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20" w:type="dxa"/>
            <w:vAlign w:val="bottom"/>
          </w:tcPr>
          <w:p>
            <w:pPr>
              <w:jc w:val="right"/>
              <w:ind w:right="472"/>
              <w:spacing w:after="0"/>
              <w:rPr>
                <w:sz w:val="20"/>
                <w:szCs w:val="20"/>
                <w:color w:val="auto"/>
              </w:rPr>
            </w:pPr>
            <w:r>
              <w:rPr>
                <w:rFonts w:ascii="Arial" w:cs="Arial" w:eastAsia="Arial" w:hAnsi="Arial"/>
                <w:sz w:val="18"/>
                <w:szCs w:val="18"/>
                <w:b w:val="1"/>
                <w:bCs w:val="1"/>
                <w:color w:val="auto"/>
              </w:rPr>
              <w:t>Risk Free</w:t>
            </w:r>
          </w:p>
        </w:tc>
        <w:tc>
          <w:tcPr>
            <w:tcW w:w="170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Expected</w:t>
            </w:r>
          </w:p>
        </w:tc>
        <w:tc>
          <w:tcPr>
            <w:tcW w:w="1740" w:type="dxa"/>
            <w:vAlign w:val="bottom"/>
          </w:tcPr>
          <w:p>
            <w:pPr>
              <w:jc w:val="right"/>
              <w:ind w:right="452"/>
              <w:spacing w:after="0"/>
              <w:rPr>
                <w:sz w:val="20"/>
                <w:szCs w:val="20"/>
                <w:color w:val="auto"/>
              </w:rPr>
            </w:pPr>
            <w:r>
              <w:rPr>
                <w:rFonts w:ascii="Arial" w:cs="Arial" w:eastAsia="Arial" w:hAnsi="Arial"/>
                <w:sz w:val="18"/>
                <w:szCs w:val="18"/>
                <w:b w:val="1"/>
                <w:bCs w:val="1"/>
                <w:color w:val="auto"/>
              </w:rPr>
              <w:t>Expected</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Expected</w:t>
            </w:r>
          </w:p>
        </w:tc>
      </w:tr>
      <w:tr>
        <w:trPr>
          <w:trHeight w:val="241"/>
        </w:trPr>
        <w:tc>
          <w:tcPr>
            <w:tcW w:w="2200" w:type="dxa"/>
            <w:vAlign w:val="bottom"/>
            <w:gridSpan w:val="2"/>
          </w:tcPr>
          <w:p>
            <w:pPr>
              <w:ind w:left="280"/>
              <w:spacing w:after="0"/>
              <w:rPr>
                <w:sz w:val="20"/>
                <w:szCs w:val="20"/>
                <w:color w:val="auto"/>
              </w:rPr>
            </w:pPr>
            <w:r>
              <w:rPr>
                <w:rFonts w:ascii="Arial" w:cs="Arial" w:eastAsia="Arial" w:hAnsi="Arial"/>
                <w:sz w:val="18"/>
                <w:szCs w:val="18"/>
                <w:b w:val="1"/>
                <w:bCs w:val="1"/>
                <w:color w:val="auto"/>
              </w:rPr>
              <w:t>Grant Date</w:t>
            </w:r>
          </w:p>
        </w:tc>
        <w:tc>
          <w:tcPr>
            <w:tcW w:w="1820" w:type="dxa"/>
            <w:vAlign w:val="bottom"/>
          </w:tcPr>
          <w:p>
            <w:pPr>
              <w:jc w:val="right"/>
              <w:ind w:right="672"/>
              <w:spacing w:after="0"/>
              <w:rPr>
                <w:sz w:val="20"/>
                <w:szCs w:val="20"/>
                <w:color w:val="auto"/>
              </w:rPr>
            </w:pPr>
            <w:r>
              <w:rPr>
                <w:rFonts w:ascii="Arial" w:cs="Arial" w:eastAsia="Arial" w:hAnsi="Arial"/>
                <w:sz w:val="18"/>
                <w:szCs w:val="18"/>
                <w:b w:val="1"/>
                <w:bCs w:val="1"/>
                <w:color w:val="auto"/>
              </w:rPr>
              <w:t>Rate</w:t>
            </w:r>
          </w:p>
        </w:tc>
        <w:tc>
          <w:tcPr>
            <w:tcW w:w="1700" w:type="dxa"/>
            <w:vAlign w:val="bottom"/>
          </w:tcPr>
          <w:p>
            <w:pPr>
              <w:jc w:val="center"/>
              <w:ind w:right="52"/>
              <w:spacing w:after="0"/>
              <w:rPr>
                <w:sz w:val="20"/>
                <w:szCs w:val="20"/>
                <w:color w:val="auto"/>
              </w:rPr>
            </w:pPr>
            <w:r>
              <w:rPr>
                <w:rFonts w:ascii="Arial" w:cs="Arial" w:eastAsia="Arial" w:hAnsi="Arial"/>
                <w:sz w:val="18"/>
                <w:szCs w:val="18"/>
                <w:b w:val="1"/>
                <w:bCs w:val="1"/>
                <w:color w:val="auto"/>
                <w:w w:val="99"/>
              </w:rPr>
              <w:t>Life</w:t>
            </w:r>
          </w:p>
        </w:tc>
        <w:tc>
          <w:tcPr>
            <w:tcW w:w="1740" w:type="dxa"/>
            <w:vAlign w:val="bottom"/>
          </w:tcPr>
          <w:p>
            <w:pPr>
              <w:jc w:val="right"/>
              <w:ind w:right="472"/>
              <w:spacing w:after="0"/>
              <w:rPr>
                <w:sz w:val="20"/>
                <w:szCs w:val="20"/>
                <w:color w:val="auto"/>
              </w:rPr>
            </w:pPr>
            <w:r>
              <w:rPr>
                <w:rFonts w:ascii="Arial" w:cs="Arial" w:eastAsia="Arial" w:hAnsi="Arial"/>
                <w:sz w:val="18"/>
                <w:szCs w:val="18"/>
                <w:b w:val="1"/>
                <w:bCs w:val="1"/>
                <w:color w:val="auto"/>
              </w:rPr>
              <w:t>Volatility</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Dividend Yield</w:t>
            </w:r>
          </w:p>
        </w:tc>
      </w:tr>
      <w:tr>
        <w:trPr>
          <w:trHeight w:val="21"/>
        </w:trPr>
        <w:tc>
          <w:tcPr>
            <w:tcW w:w="3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22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November 1, 2008</w:t>
            </w:r>
          </w:p>
        </w:tc>
        <w:tc>
          <w:tcPr>
            <w:tcW w:w="18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3.16%</w:t>
            </w:r>
          </w:p>
        </w:tc>
        <w:tc>
          <w:tcPr>
            <w:tcW w:w="1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6.0 years</w:t>
            </w:r>
          </w:p>
        </w:tc>
        <w:tc>
          <w:tcPr>
            <w:tcW w:w="17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30.57%</w:t>
            </w:r>
          </w:p>
        </w:tc>
        <w:tc>
          <w:tcPr>
            <w:tcW w:w="1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1.53%</w:t>
            </w:r>
          </w:p>
        </w:tc>
      </w:tr>
      <w:tr>
        <w:trPr>
          <w:trHeight w:val="203"/>
        </w:trPr>
        <w:tc>
          <w:tcPr>
            <w:tcW w:w="22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November 1, 2007</w:t>
            </w:r>
          </w:p>
        </w:tc>
        <w:tc>
          <w:tcPr>
            <w:tcW w:w="18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4.08%</w:t>
            </w:r>
          </w:p>
        </w:tc>
        <w:tc>
          <w:tcPr>
            <w:tcW w:w="1700" w:type="dxa"/>
            <w:vAlign w:val="bottom"/>
          </w:tcPr>
          <w:p>
            <w:pPr>
              <w:ind w:left="540"/>
              <w:spacing w:after="0" w:line="202" w:lineRule="exact"/>
              <w:rPr>
                <w:sz w:val="20"/>
                <w:szCs w:val="20"/>
                <w:color w:val="auto"/>
              </w:rPr>
            </w:pPr>
            <w:r>
              <w:rPr>
                <w:rFonts w:ascii="Arial" w:cs="Arial" w:eastAsia="Arial" w:hAnsi="Arial"/>
                <w:sz w:val="18"/>
                <w:szCs w:val="18"/>
                <w:color w:val="auto"/>
              </w:rPr>
              <w:t>6.5 years</w:t>
            </w:r>
          </w:p>
        </w:tc>
        <w:tc>
          <w:tcPr>
            <w:tcW w:w="17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25.75%</w:t>
            </w:r>
          </w:p>
        </w:tc>
        <w:tc>
          <w:tcPr>
            <w:tcW w:w="1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0.95%</w:t>
            </w:r>
          </w:p>
        </w:tc>
      </w:tr>
      <w:tr>
        <w:trPr>
          <w:trHeight w:val="203"/>
        </w:trPr>
        <w:tc>
          <w:tcPr>
            <w:tcW w:w="22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November 1, 2006</w:t>
            </w:r>
          </w:p>
        </w:tc>
        <w:tc>
          <w:tcPr>
            <w:tcW w:w="182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4.53%</w:t>
            </w:r>
          </w:p>
        </w:tc>
        <w:tc>
          <w:tcPr>
            <w:tcW w:w="1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6.5 years</w:t>
            </w:r>
          </w:p>
        </w:tc>
        <w:tc>
          <w:tcPr>
            <w:tcW w:w="17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26.44%</w:t>
            </w:r>
          </w:p>
        </w:tc>
        <w:tc>
          <w:tcPr>
            <w:tcW w:w="1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0.82%</w:t>
            </w:r>
          </w:p>
        </w:tc>
      </w:tr>
    </w:tbl>
    <w:p>
      <w:pPr>
        <w:spacing w:after="0" w:line="219" w:lineRule="exact"/>
        <w:rPr>
          <w:sz w:val="20"/>
          <w:szCs w:val="20"/>
          <w:color w:val="auto"/>
        </w:rPr>
      </w:pPr>
    </w:p>
    <w:p>
      <w:pPr>
        <w:ind w:left="540"/>
        <w:spacing w:after="0" w:line="235" w:lineRule="auto"/>
        <w:rPr>
          <w:sz w:val="20"/>
          <w:szCs w:val="20"/>
          <w:color w:val="auto"/>
        </w:rPr>
      </w:pPr>
      <w:r>
        <w:rPr>
          <w:rFonts w:ascii="Arial" w:cs="Arial" w:eastAsia="Arial" w:hAnsi="Arial"/>
          <w:sz w:val="18"/>
          <w:szCs w:val="18"/>
          <w:color w:val="auto"/>
        </w:rPr>
        <w:t>For each of Messrs. Buhrmaster, Buxton, Nassau, Steinhafel and Twomey and for Ms. Cooper, the November 3, 2008 annual stock option grants were fully expensed as of the date of grant because each director had served, or during the term of the stock option will have served, on the Board for 10 full fiscal years and, accordingly, if such director terminates his or her service on the Board,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The grant date fair value of each of the annual stock option awards automatically granted to each of the directors on November 3, 2008, for financial reporting purposes, was $10.06 per stock option. The exercise price per share is equal to 100% of the fair market value of one share of our common stock on the date of grant, as determined by the closing price for our common stock as reported on the NYSE, which was $33.78 on November 3, 2008. The actual value of the stock option awards, if any, to be realized by a director depends upon whether the price of our common stock at exercise is greater than the exercise price of the stock options.</w:t>
      </w:r>
    </w:p>
    <w:p>
      <w:pPr>
        <w:spacing w:after="0" w:line="229" w:lineRule="exact"/>
        <w:rPr>
          <w:sz w:val="20"/>
          <w:szCs w:val="20"/>
          <w:color w:val="auto"/>
        </w:rPr>
      </w:pPr>
    </w:p>
    <w:p>
      <w:pPr>
        <w:ind w:left="540" w:right="520" w:hanging="532"/>
        <w:spacing w:after="0" w:line="23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October 31, 2009, the aggregate number of stock options (exercisable and unexercisable) held by each director was as follows: Mr. Buhrmaster—16,784; Mr. Buxton—16,784; Ms. Cooper—16,784; Mr. Ellis—9,238; Ms. Harless—16,784; Mr. Nassau—15,450; Mr. Steinhafel—16,784; Mr. Thulin—5,960; and Mr. Twomey—16,784.</w:t>
      </w:r>
    </w:p>
    <w:p>
      <w:pPr>
        <w:spacing w:after="0" w:line="194" w:lineRule="exact"/>
        <w:rPr>
          <w:rFonts w:ascii="Arial" w:cs="Arial" w:eastAsia="Arial" w:hAnsi="Arial"/>
          <w:sz w:val="18"/>
          <w:szCs w:val="18"/>
          <w:color w:val="auto"/>
        </w:rPr>
      </w:pPr>
    </w:p>
    <w:p>
      <w:pPr>
        <w:ind w:left="540" w:hanging="532"/>
        <w:spacing w:after="0" w:line="23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directors, other than Company products for their personal use at no charge. The amount reported represents the aggregate incremental cost to us of providing Company products to our directors as follows: Ms. Cooper—$3,645; Mr. Nassau—$10,817;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260"/>
        <w:spacing w:after="0" w:line="238" w:lineRule="auto"/>
        <w:rPr>
          <w:sz w:val="20"/>
          <w:szCs w:val="20"/>
          <w:color w:val="auto"/>
        </w:rPr>
      </w:pPr>
      <w:r>
        <w:rPr>
          <w:rFonts w:ascii="Arial" w:cs="Arial" w:eastAsia="Arial" w:hAnsi="Arial"/>
          <w:sz w:val="18"/>
          <w:szCs w:val="18"/>
          <w:color w:val="auto"/>
        </w:rPr>
        <w:t>Mr. Steinhafel—$12,068. The incremental cost to us of the products provided to our directors was determined as the amount a Company employee would have paid for such products as opposed to the full retail price for such products since all Company employees may purchase Company products at an employee discount.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234" w:lineRule="exact"/>
        <w:rPr>
          <w:sz w:val="20"/>
          <w:szCs w:val="20"/>
          <w:color w:val="auto"/>
        </w:rPr>
      </w:pPr>
    </w:p>
    <w:p>
      <w:pPr>
        <w:ind w:firstLine="391"/>
        <w:spacing w:after="0" w:line="237"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Nominating &amp; Governance Committee will take into account, among other factors and information it deems appropriate:</w:t>
      </w:r>
    </w:p>
    <w:p>
      <w:pPr>
        <w:spacing w:after="0" w:line="20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person's relationship to the Company and interest in the transaction;</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benefits to the Company of the transaction; and</w:t>
      </w:r>
    </w:p>
    <w:p>
      <w:pPr>
        <w:spacing w:after="0" w:line="198"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208" w:lineRule="exact"/>
        <w:rPr>
          <w:sz w:val="20"/>
          <w:szCs w:val="20"/>
          <w:color w:val="auto"/>
        </w:rPr>
      </w:pPr>
    </w:p>
    <w:p>
      <w:pPr>
        <w:ind w:right="140" w:firstLine="387"/>
        <w:spacing w:after="0" w:line="237"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 are not material to our business or the business of such unaffiliated corporation, are deemed conclusively pre-approved.</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234" w:lineRule="exact"/>
        <w:rPr>
          <w:sz w:val="20"/>
          <w:szCs w:val="20"/>
          <w:color w:val="auto"/>
        </w:rPr>
      </w:pPr>
    </w:p>
    <w:p>
      <w:pPr>
        <w:ind w:right="20" w:firstLine="391"/>
        <w:spacing w:after="0" w:line="238"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234" w:lineRule="exact"/>
        <w:rPr>
          <w:sz w:val="20"/>
          <w:szCs w:val="20"/>
          <w:color w:val="auto"/>
        </w:rPr>
      </w:pPr>
    </w:p>
    <w:p>
      <w:pPr>
        <w:ind w:firstLine="381"/>
        <w:spacing w:after="0" w:line="273" w:lineRule="auto"/>
        <w:rPr>
          <w:sz w:val="20"/>
          <w:szCs w:val="20"/>
          <w:color w:val="auto"/>
        </w:rPr>
      </w:pPr>
      <w:r>
        <w:rPr>
          <w:rFonts w:ascii="Arial" w:cs="Arial" w:eastAsia="Arial" w:hAnsi="Arial"/>
          <w:sz w:val="16"/>
          <w:szCs w:val="16"/>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CEO (our principal executive officer), our CFO (our principal financial officer), our Vice President, Corporate Controller (our principal accounting officer and controller), and to all business unit controllers and senior accounting personnel identified by our Vice President, Corporate Controller who are bound by the provisions set forth in the Code of Conduct relating to ethical conduct, conflicts of interest and compliance with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Complaint Procedure; Communications with Directors</w:t>
      </w:r>
    </w:p>
    <w:p>
      <w:pPr>
        <w:spacing w:after="0" w:line="234" w:lineRule="exact"/>
        <w:rPr>
          <w:sz w:val="20"/>
          <w:szCs w:val="20"/>
          <w:color w:val="auto"/>
        </w:rPr>
      </w:pPr>
    </w:p>
    <w:p>
      <w:pPr>
        <w:ind w:right="200" w:firstLine="387"/>
        <w:spacing w:after="0" w:line="238" w:lineRule="auto"/>
        <w:rPr>
          <w:sz w:val="20"/>
          <w:szCs w:val="20"/>
          <w:color w:val="auto"/>
        </w:rPr>
      </w:pPr>
      <w:r>
        <w:rPr>
          <w:rFonts w:ascii="Arial" w:cs="Arial" w:eastAsia="Arial" w:hAnsi="Arial"/>
          <w:sz w:val="18"/>
          <w:szCs w:val="18"/>
          <w:color w:val="auto"/>
        </w:rPr>
        <w:t>The Board has appointed Robert C. Buhrmaster as our presiding non-management director, with the responsibility to facilitate communications by shareholders, interested parties and employees directly with the independent, non-management members of the Board. Our presiding non-management director maintains a special telephone line for the purposes described below.</w:t>
      </w:r>
    </w:p>
    <w:p>
      <w:pPr>
        <w:spacing w:after="0" w:line="208" w:lineRule="exact"/>
        <w:rPr>
          <w:sz w:val="20"/>
          <w:szCs w:val="20"/>
          <w:color w:val="auto"/>
        </w:rPr>
      </w:pPr>
    </w:p>
    <w:p>
      <w:pPr>
        <w:ind w:firstLine="381"/>
        <w:spacing w:after="0" w:line="236" w:lineRule="auto"/>
        <w:rPr>
          <w:sz w:val="20"/>
          <w:szCs w:val="20"/>
          <w:color w:val="auto"/>
        </w:rPr>
      </w:pPr>
      <w:r>
        <w:rPr>
          <w:rFonts w:ascii="Arial" w:cs="Arial" w:eastAsia="Arial" w:hAnsi="Arial"/>
          <w:sz w:val="18"/>
          <w:szCs w:val="18"/>
          <w:color w:val="auto"/>
        </w:rPr>
        <w:t>As required by the Sarbanes-Oxley Act of 2002, we maintain procedures to receive, retain and treat complaints received regarding accounting, internal accounting controls or auditing matters and to allow for the confidential and anonymous submission by employees of concerns regarding questionable accounting or auditing matters. Our 24-hour, toll-free confidential compliance line is available for the submission of concerns regarding these matters by any employee. Any employee who believes he or she is aware of a breach of our Code of Conduct or an incident involving financial fraud may leave a confidential or anonymous message at 800-850-7247 (in the United States) or +1-678-999-4558 (outside the United States) or for Robert C. Buhrmaster, as our presiding non-management director, at 952-887-7268.</w:t>
      </w:r>
    </w:p>
    <w:p>
      <w:pPr>
        <w:spacing w:after="0" w:line="210" w:lineRule="exact"/>
        <w:rPr>
          <w:sz w:val="20"/>
          <w:szCs w:val="20"/>
          <w:color w:val="auto"/>
        </w:rPr>
      </w:pPr>
    </w:p>
    <w:p>
      <w:pPr>
        <w:ind w:right="40" w:firstLine="387"/>
        <w:spacing w:after="0" w:line="236" w:lineRule="auto"/>
        <w:rPr>
          <w:sz w:val="20"/>
          <w:szCs w:val="20"/>
          <w:color w:val="auto"/>
        </w:rPr>
      </w:pPr>
      <w:r>
        <w:rPr>
          <w:rFonts w:ascii="Arial" w:cs="Arial" w:eastAsia="Arial" w:hAnsi="Arial"/>
          <w:sz w:val="18"/>
          <w:szCs w:val="18"/>
          <w:color w:val="auto"/>
        </w:rPr>
        <w:t>The Board also has established a process for shareholders and interested parties to send communications to the non-management directors. Shareholders and interested parties may communicate with the Board or the non-management directors through the presiding non-management director by calling 952-887-7268 or by writing to our Vice President, Secretary and General Counsel, 8111 Lyndale Avenue South, Bloomington, Minnesota, 55420-1196. Communications sent to us addressed to the Board of Directors or to any non-management director are reviewed by our Vice President, Secretary and General Counsel. Some types of communications may not be forwarded to our presiding non-management director. These include job inquiries, surveys and requests for information about us, offers of goods and services, requests for donations and sponsorships and product ideas, as well as communications unrelated to us or our business. If the communication does not fall in one of these categories, it will be forwarded to our presiding non-management director.</w:t>
      </w:r>
    </w:p>
    <w:p>
      <w:pPr>
        <w:spacing w:after="0" w:line="208" w:lineRule="exact"/>
        <w:rPr>
          <w:sz w:val="20"/>
          <w:szCs w:val="20"/>
          <w:color w:val="auto"/>
        </w:rPr>
      </w:pPr>
    </w:p>
    <w:p>
      <w:pPr>
        <w:ind w:right="20" w:firstLine="391"/>
        <w:spacing w:after="0" w:line="236" w:lineRule="auto"/>
        <w:rPr>
          <w:sz w:val="20"/>
          <w:szCs w:val="20"/>
          <w:color w:val="auto"/>
        </w:rPr>
      </w:pPr>
      <w:r>
        <w:rPr>
          <w:rFonts w:ascii="Arial" w:cs="Arial" w:eastAsia="Arial" w:hAnsi="Arial"/>
          <w:sz w:val="18"/>
          <w:szCs w:val="18"/>
          <w:color w:val="auto"/>
        </w:rPr>
        <w:t>Concerns and questions relating to accounting, internal accounting controls, financial policy, risk management or auditing matters are brought to the attention of the Chair of the Audit Committee and are handled in accordance with procedures established by the Audit Committee. These concerns also may be reported through our anonymous confidential compliance line at 800-850-7247 (in the United States) or +1-678-999-4558 (outside the United States) or to Robert C. Buhrmaster, as our presiding non-management director, at 952-887-7268. If requested, we will endeavor to keep information that has been submitted confidential, subject to any need to conduct an effective investigation and take appropriate action.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234" w:lineRule="exact"/>
        <w:rPr>
          <w:sz w:val="20"/>
          <w:szCs w:val="20"/>
          <w:color w:val="auto"/>
        </w:rPr>
      </w:pPr>
    </w:p>
    <w:p>
      <w:pPr>
        <w:ind w:right="520" w:firstLine="387"/>
        <w:spacing w:after="0" w:line="238"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discussions, the committee recommended to the Board that the Compensation Discussion and Analysis be included in this proxy statement and in our Annual Report on Form 10-K for the fiscal year ended October 31, 2009.</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&amp; Human Resources Committee:</w:t>
      </w:r>
    </w:p>
    <w:p>
      <w:pPr>
        <w:jc w:val="center"/>
        <w:ind w:right="-19"/>
        <w:spacing w:after="0" w:line="234" w:lineRule="auto"/>
        <w:rPr>
          <w:sz w:val="20"/>
          <w:szCs w:val="20"/>
          <w:color w:val="auto"/>
        </w:rPr>
      </w:pPr>
      <w:r>
        <w:rPr>
          <w:rFonts w:ascii="Arial" w:cs="Arial" w:eastAsia="Arial" w:hAnsi="Arial"/>
          <w:sz w:val="18"/>
          <w:szCs w:val="18"/>
          <w:color w:val="auto"/>
        </w:rPr>
        <w:t>Christopher A. Twomey (Chair)</w:t>
      </w:r>
    </w:p>
    <w:p>
      <w:pPr>
        <w:jc w:val="center"/>
        <w:ind w:right="-19"/>
        <w:spacing w:after="0" w:line="235" w:lineRule="auto"/>
        <w:rPr>
          <w:sz w:val="20"/>
          <w:szCs w:val="20"/>
          <w:color w:val="auto"/>
        </w:rPr>
      </w:pPr>
      <w:r>
        <w:rPr>
          <w:rFonts w:ascii="Arial" w:cs="Arial" w:eastAsia="Arial" w:hAnsi="Arial"/>
          <w:sz w:val="18"/>
          <w:szCs w:val="18"/>
          <w:color w:val="auto"/>
        </w:rPr>
        <w:t>Winslow H. Buxton</w:t>
      </w:r>
    </w:p>
    <w:p>
      <w:pPr>
        <w:jc w:val="center"/>
        <w:ind w:right="-19"/>
        <w:spacing w:after="0" w:line="235" w:lineRule="auto"/>
        <w:rPr>
          <w:sz w:val="20"/>
          <w:szCs w:val="20"/>
          <w:color w:val="auto"/>
        </w:rPr>
      </w:pPr>
      <w:r>
        <w:rPr>
          <w:rFonts w:ascii="Arial" w:cs="Arial" w:eastAsia="Arial" w:hAnsi="Arial"/>
          <w:sz w:val="18"/>
          <w:szCs w:val="18"/>
          <w:color w:val="auto"/>
        </w:rPr>
        <w:t>Katherine J. Harless</w:t>
      </w:r>
    </w:p>
    <w:p>
      <w:pPr>
        <w:jc w:val="center"/>
        <w:ind w:right="-19"/>
        <w:spacing w:after="0" w:line="235" w:lineRule="auto"/>
        <w:rPr>
          <w:sz w:val="20"/>
          <w:szCs w:val="20"/>
          <w:color w:val="auto"/>
        </w:rPr>
      </w:pPr>
      <w:r>
        <w:rPr>
          <w:rFonts w:ascii="Arial" w:cs="Arial" w:eastAsia="Arial" w:hAnsi="Arial"/>
          <w:sz w:val="18"/>
          <w:szCs w:val="18"/>
          <w:color w:val="auto"/>
        </w:rPr>
        <w:t>Robert H. Nassau</w:t>
      </w: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ind w:right="40" w:firstLine="391"/>
        <w:spacing w:after="0" w:line="244" w:lineRule="auto"/>
        <w:rPr>
          <w:sz w:val="20"/>
          <w:szCs w:val="20"/>
          <w:color w:val="auto"/>
        </w:rPr>
      </w:pPr>
      <w:r>
        <w:rPr>
          <w:rFonts w:ascii="Arial" w:cs="Arial" w:eastAsia="Arial" w:hAnsi="Arial"/>
          <w:sz w:val="18"/>
          <w:szCs w:val="18"/>
          <w:b w:val="1"/>
          <w:bCs w:val="1"/>
          <w:color w:val="auto"/>
        </w:rPr>
        <w:t xml:space="preserve">Executive Summary. </w:t>
      </w:r>
      <w:r>
        <w:rPr>
          <w:rFonts w:ascii="Arial" w:cs="Arial" w:eastAsia="Arial" w:hAnsi="Arial"/>
          <w:sz w:val="18"/>
          <w:szCs w:val="18"/>
          <w:color w:val="auto"/>
        </w:rPr>
        <w:t>This Compensation Discussion and Analysis describes the key principles and approaches used to determine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of compensation awarded to, earned by and/or paid to each of our named executive officers listed in the Summary Compensation Table. This discussion should be read in conjunction with the tables and corresponding footnotes set forth on pages 50 through 58, as it provides information and context to the compensation disclosures included in those tables and footnotes.</w:t>
      </w:r>
    </w:p>
    <w:p>
      <w:pPr>
        <w:spacing w:after="0" w:line="207" w:lineRule="exact"/>
        <w:rPr>
          <w:sz w:val="20"/>
          <w:szCs w:val="20"/>
          <w:color w:val="auto"/>
        </w:rPr>
      </w:pPr>
    </w:p>
    <w:p>
      <w:pPr>
        <w:ind w:right="40" w:firstLine="387"/>
        <w:spacing w:after="0" w:line="238" w:lineRule="auto"/>
        <w:rPr>
          <w:sz w:val="20"/>
          <w:szCs w:val="20"/>
          <w:color w:val="auto"/>
        </w:rPr>
      </w:pPr>
      <w:r>
        <w:rPr>
          <w:rFonts w:ascii="Arial" w:cs="Arial" w:eastAsia="Arial" w:hAnsi="Arial"/>
          <w:sz w:val="18"/>
          <w:szCs w:val="18"/>
          <w:color w:val="auto"/>
        </w:rPr>
        <w:t>This discussion focuses primarily on compensation awarded to, earned by and/or paid to each of our named executive officers for fiscal 2009. However, to the extent that it enhances an understanding of our fiscal 2009 compensation, it also addresses past compensation actions and changes to our executive compensation programs in fiscal 2010.</w:t>
      </w:r>
    </w:p>
    <w:p>
      <w:pPr>
        <w:spacing w:after="0" w:line="208" w:lineRule="exact"/>
        <w:rPr>
          <w:sz w:val="20"/>
          <w:szCs w:val="20"/>
          <w:color w:val="auto"/>
        </w:rPr>
      </w:pPr>
    </w:p>
    <w:p>
      <w:pPr>
        <w:ind w:firstLine="391"/>
        <w:spacing w:after="0" w:line="235" w:lineRule="auto"/>
        <w:rPr>
          <w:sz w:val="20"/>
          <w:szCs w:val="20"/>
          <w:color w:val="auto"/>
        </w:rPr>
      </w:pPr>
      <w:r>
        <w:rPr>
          <w:rFonts w:ascii="Arial" w:cs="Arial" w:eastAsia="Arial" w:hAnsi="Arial"/>
          <w:sz w:val="18"/>
          <w:szCs w:val="18"/>
          <w:color w:val="auto"/>
        </w:rPr>
        <w:t>Compensation for our named executive officers other than the CEO generally is determined by the Compensation &amp; Human Resources Committee, which is comprised solely of independent non-employee directors who meet at least three times each fiscal year. Compensation for our CEO is determined by the Compensation &amp; Human Resources Committee and ratified by the independent non-employee directors of the full Board. In making compensation decisions, the Compensation &amp; Human Resources Committee considers market data, analysis and recommendations provided by Towers Watson and recommendations from our CEO, Vice President, Human Resources &amp; Business Development and Director, Total Rewards and HR Services regarding experience, tenure, corporate/division performance, individual performance and outside market factors, including general economic conditions. The Compensation &amp; Human Resources Committee also considers the results of the annual CEO evaluation process in making compensation decisions for the CEO. The CEO does not provide input with respect to his own compensation.</w:t>
      </w:r>
    </w:p>
    <w:p>
      <w:pPr>
        <w:spacing w:after="0" w:line="215" w:lineRule="exact"/>
        <w:rPr>
          <w:sz w:val="20"/>
          <w:szCs w:val="20"/>
          <w:color w:val="auto"/>
        </w:rPr>
      </w:pPr>
    </w:p>
    <w:p>
      <w:pPr>
        <w:ind w:right="100" w:firstLine="381"/>
        <w:spacing w:after="0" w:line="237" w:lineRule="auto"/>
        <w:rPr>
          <w:sz w:val="20"/>
          <w:szCs w:val="20"/>
          <w:color w:val="auto"/>
        </w:rPr>
      </w:pPr>
      <w:r>
        <w:rPr>
          <w:rFonts w:ascii="Arial" w:cs="Arial" w:eastAsia="Arial" w:hAnsi="Arial"/>
          <w:sz w:val="18"/>
          <w:szCs w:val="18"/>
          <w:color w:val="auto"/>
        </w:rPr>
        <w:t>As a result of the difficult economic environment in fiscal 2009 and its impact on our financial performance, we implemented a number of cost savings initiatives. Those initiatives included a voluntary retirement program for employees that were age 59 and had at least five years of service in December 2008, two workforce reductions for our United States office salaried employees (February 2009 and August 2009), a voluntary 10% base salary reduction for our named executive officers and other executives approved by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Compensation &amp; Human Resources Committee in February 2009, suspension of regularly scheduled merit increases for all United States office salaried employees and employees in several of our international locations in March 2009, and four furlough (unpaid) days for United States office salaried employees, including our named executive officers and other executives, from February 2009 through October 2009.</w:t>
      </w:r>
    </w:p>
    <w:p>
      <w:pPr>
        <w:spacing w:after="0" w:line="186" w:lineRule="exact"/>
        <w:rPr>
          <w:sz w:val="20"/>
          <w:szCs w:val="20"/>
          <w:color w:val="auto"/>
        </w:rPr>
      </w:pPr>
    </w:p>
    <w:p>
      <w:pPr>
        <w:ind w:right="100" w:firstLine="391"/>
        <w:spacing w:after="0" w:line="242" w:lineRule="auto"/>
        <w:rPr>
          <w:sz w:val="20"/>
          <w:szCs w:val="20"/>
          <w:color w:val="auto"/>
        </w:rPr>
      </w:pPr>
      <w:r>
        <w:rPr>
          <w:rFonts w:ascii="Arial" w:cs="Arial" w:eastAsia="Arial" w:hAnsi="Arial"/>
          <w:sz w:val="18"/>
          <w:szCs w:val="18"/>
          <w:b w:val="1"/>
          <w:bCs w:val="1"/>
          <w:color w:val="auto"/>
        </w:rPr>
        <w:t xml:space="preserve">Compensation Program Objectives. </w:t>
      </w:r>
      <w:r>
        <w:rPr>
          <w:rFonts w:ascii="Arial" w:cs="Arial" w:eastAsia="Arial" w:hAnsi="Arial"/>
          <w:sz w:val="18"/>
          <w:szCs w:val="18"/>
          <w:color w:val="auto"/>
        </w:rPr>
        <w:t>We generally use compensation to help reinforce desired financial business results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including our named executive officers, and to motivate them to make decisions to produce those results. Our guiding philosophy is to maintain an executive compensation program that will attract, retain, motivate and reward highly qualified and talented executives that will enable us to perform better than our competitors. Our Compensation &amp; Human Resources Committee considers several core principles, which are outlined below, when determining executive compensation.</w:t>
      </w:r>
    </w:p>
    <w:p>
      <w:pPr>
        <w:spacing w:after="0" w:line="185" w:lineRule="exact"/>
        <w:rPr>
          <w:sz w:val="20"/>
          <w:szCs w:val="20"/>
          <w:color w:val="auto"/>
        </w:rPr>
      </w:pPr>
    </w:p>
    <w:p>
      <w:pPr>
        <w:ind w:left="1080" w:hanging="532"/>
        <w:spacing w:after="0" w:line="244"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Pay is linked to performance. </w:t>
      </w:r>
      <w:r>
        <w:rPr>
          <w:rFonts w:ascii="Arial" w:cs="Arial" w:eastAsia="Arial" w:hAnsi="Arial"/>
          <w:sz w:val="18"/>
          <w:szCs w:val="18"/>
          <w:color w:val="auto"/>
        </w:rPr>
        <w:t>The largest component of target total compensation for our executives, including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is incentive compensation that is tied to the achievement of financial business results. Incentive compensation and total compensation will vary based on the level of achievement of specific performance measures that are tied to corporate and division financial business goals.</w:t>
      </w:r>
    </w:p>
    <w:p>
      <w:pPr>
        <w:spacing w:after="0" w:line="184" w:lineRule="exact"/>
        <w:rPr>
          <w:rFonts w:ascii="Arial" w:cs="Arial" w:eastAsia="Arial" w:hAnsi="Arial"/>
          <w:sz w:val="18"/>
          <w:szCs w:val="18"/>
          <w:color w:val="auto"/>
        </w:rPr>
      </w:pPr>
    </w:p>
    <w:p>
      <w:pPr>
        <w:ind w:left="1080" w:right="40" w:hanging="532"/>
        <w:spacing w:after="0" w:line="22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Total compensation opportunities are competitive with the marketplace. </w:t>
      </w:r>
      <w:r>
        <w:rPr>
          <w:rFonts w:ascii="Arial" w:cs="Arial" w:eastAsia="Arial" w:hAnsi="Arial"/>
          <w:sz w:val="17"/>
          <w:szCs w:val="17"/>
          <w:color w:val="auto"/>
        </w:rPr>
        <w:t>To ensure that our executive compensation remains</w:t>
      </w:r>
      <w:r>
        <w:rPr>
          <w:rFonts w:ascii="Arial" w:cs="Arial" w:eastAsia="Arial" w:hAnsi="Arial"/>
          <w:sz w:val="17"/>
          <w:szCs w:val="17"/>
          <w:b w:val="1"/>
          <w:bCs w:val="1"/>
          <w:color w:val="auto"/>
        </w:rPr>
        <w:t xml:space="preserve"> </w:t>
      </w:r>
      <w:r>
        <w:rPr>
          <w:rFonts w:ascii="Arial" w:cs="Arial" w:eastAsia="Arial" w:hAnsi="Arial"/>
          <w:sz w:val="17"/>
          <w:szCs w:val="17"/>
          <w:color w:val="auto"/>
        </w:rPr>
        <w:t>competitive, the Compensation &amp; Human Resources Committee, with input and recommendations from Towers Watson, our CEO, our Vice President, Human Resources &amp; Business Development and our Director, Total Rewards and HR Services, measures the competitiveness of the key elements of our executive compensation program, including base salary, annual incentives and long-term incentives. It is our goal generally to target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individual elements of compensation and total compensation. We believe that targeting compensation opportunities at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allows us to attract and retain key talent, motivate the accomplishment of short-term and long-term financial business goals and maintain an appropriate cost structure.</w:t>
      </w:r>
    </w:p>
    <w:p>
      <w:pPr>
        <w:spacing w:after="0" w:line="210" w:lineRule="exact"/>
        <w:rPr>
          <w:rFonts w:ascii="Arial" w:cs="Arial" w:eastAsia="Arial" w:hAnsi="Arial"/>
          <w:sz w:val="17"/>
          <w:szCs w:val="17"/>
          <w:color w:val="auto"/>
        </w:rPr>
      </w:pPr>
    </w:p>
    <w:p>
      <w:pPr>
        <w:ind w:left="1080" w:right="60"/>
        <w:spacing w:after="0" w:line="235" w:lineRule="auto"/>
        <w:rPr>
          <w:rFonts w:ascii="Arial" w:cs="Arial" w:eastAsia="Arial" w:hAnsi="Arial"/>
          <w:sz w:val="17"/>
          <w:szCs w:val="17"/>
          <w:color w:val="auto"/>
        </w:rPr>
      </w:pPr>
      <w:r>
        <w:rPr>
          <w:rFonts w:ascii="Arial" w:cs="Arial" w:eastAsia="Arial" w:hAnsi="Arial"/>
          <w:sz w:val="18"/>
          <w:szCs w:val="18"/>
          <w:color w:val="auto"/>
        </w:rPr>
        <w:t>Towers Watson provides market data for all of our executives, including our named executive officers, from the executive database within its Compensation Data Bank, which is a published compensation survey. The data in the compensation survey (there were 761 participating companies in the 2009 survey) is size adjusted, using a regression analysis, for our revenue size. For certain positions where regression data is not available, data is provided for a sub-set of companies with annual revenue between $1 and $3 billion (there were 125 participating companies in the 2009 survey in this revenue range). For executives with divisional responsibilities, the data is size adjusted for specific division revenue. We believe that the market for our executive talent is not limited to the manufacturing industry and therefore we do not focus specifically on manufacturing companies within the database nor do we identify a separate group of peer companies within the manufacturing industry. The market data provided by Towers Watson and analyzed by the Compensation &amp; Human Resources Committee, our CEO, our Vice President, Human Resources &amp; Business Development and our Director, Total Rewards and HR Services 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1080" w:right="80"/>
        <w:spacing w:after="0" w:line="264" w:lineRule="auto"/>
        <w:rPr>
          <w:sz w:val="20"/>
          <w:szCs w:val="20"/>
          <w:color w:val="auto"/>
        </w:rPr>
      </w:pPr>
      <w:r>
        <w:rPr>
          <w:rFonts w:ascii="Arial" w:cs="Arial" w:eastAsia="Arial" w:hAnsi="Arial"/>
          <w:sz w:val="16"/>
          <w:szCs w:val="16"/>
          <w:color w:val="auto"/>
        </w:rPr>
        <w:t>summarized in aggregate form for each of the positions in which our executives serve. For our Vice President, Human Resources &amp; Business Development, market data is provided for the Vice President, Human Resources position, but we consider Mr. Ramstad's responsibilities for both the human resources and business development functions when determining his compensation levels.</w:t>
      </w:r>
    </w:p>
    <w:p>
      <w:pPr>
        <w:spacing w:after="0" w:line="1" w:lineRule="exact"/>
        <w:rPr>
          <w:sz w:val="20"/>
          <w:szCs w:val="20"/>
          <w:color w:val="auto"/>
        </w:rPr>
      </w:pPr>
    </w:p>
    <w:p>
      <w:pPr>
        <w:ind w:left="1080"/>
        <w:spacing w:after="0" w:line="299" w:lineRule="auto"/>
        <w:rPr>
          <w:sz w:val="20"/>
          <w:szCs w:val="20"/>
          <w:color w:val="auto"/>
        </w:rPr>
      </w:pPr>
      <w:r>
        <w:rPr>
          <w:rFonts w:ascii="Arial" w:cs="Arial" w:eastAsia="Arial" w:hAnsi="Arial"/>
          <w:sz w:val="16"/>
          <w:szCs w:val="16"/>
          <w:color w:val="auto"/>
        </w:rPr>
        <w:t>Towers Watson provides aggregate rather than individual data for participating companies; therefore aggregate rather than individual data is used for the purpose of benchmarking or determining executive compensation in total or for any individual elements.</w:t>
      </w:r>
    </w:p>
    <w:p>
      <w:pPr>
        <w:spacing w:after="0" w:line="141" w:lineRule="exact"/>
        <w:rPr>
          <w:sz w:val="20"/>
          <w:szCs w:val="20"/>
          <w:color w:val="auto"/>
        </w:rPr>
      </w:pPr>
    </w:p>
    <w:p>
      <w:pPr>
        <w:ind w:left="1080" w:right="60" w:hanging="532"/>
        <w:spacing w:after="0" w:line="23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is emphasized. </w:t>
      </w:r>
      <w:r>
        <w:rPr>
          <w:rFonts w:ascii="Arial" w:cs="Arial" w:eastAsia="Arial" w:hAnsi="Arial"/>
          <w:sz w:val="18"/>
          <w:szCs w:val="18"/>
          <w:color w:val="auto"/>
        </w:rPr>
        <w:t>We have a long-held belief that stock ownership by our executives is critical in order to align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our executives with those of our shareholders. We encourage significant ownership of our common stock by our executives and, accordingly, the Compensation &amp; Human Resources Committee has adopted stock ownership guidelines for them. We believe that our incentive programs' focus on financial business results has a direct link to the value of our common stock. Our long-term incentive programs directly result in share ownership by our executives and therefore are designed to support accumulation of shares of our common stock by our executives in furtherance of achieving their applicable stock ownership guidelines.</w:t>
      </w:r>
    </w:p>
    <w:p>
      <w:pPr>
        <w:spacing w:after="0" w:line="213" w:lineRule="exact"/>
        <w:rPr>
          <w:sz w:val="20"/>
          <w:szCs w:val="20"/>
          <w:color w:val="auto"/>
        </w:rPr>
      </w:pPr>
    </w:p>
    <w:p>
      <w:pPr>
        <w:ind w:right="40" w:firstLine="391"/>
        <w:spacing w:after="0" w:line="266" w:lineRule="auto"/>
        <w:rPr>
          <w:sz w:val="20"/>
          <w:szCs w:val="20"/>
          <w:color w:val="auto"/>
        </w:rPr>
      </w:pPr>
      <w:r>
        <w:rPr>
          <w:rFonts w:ascii="Arial" w:cs="Arial" w:eastAsia="Arial" w:hAnsi="Arial"/>
          <w:sz w:val="18"/>
          <w:szCs w:val="18"/>
          <w:color w:val="auto"/>
        </w:rPr>
        <w:t>We believe that these core principles help ensure that when financial business goals are met, total compensation is generally at or above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when financial business goals are not met, total compensation is generally 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41" w:lineRule="exact"/>
        <w:rPr>
          <w:sz w:val="20"/>
          <w:szCs w:val="20"/>
          <w:color w:val="auto"/>
        </w:rPr>
      </w:pPr>
    </w:p>
    <w:p>
      <w:pPr>
        <w:ind w:right="60" w:firstLine="391"/>
        <w:spacing w:after="0" w:line="249"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2009, our executive compensation program consisted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elements: base salary, annual cash incentives, long-term incentives, retirement and health benefits and perquisites. We have outlined below the purpose of each of these elements, as well as target positioning in the market.</w:t>
      </w:r>
    </w:p>
    <w:p>
      <w:pPr>
        <w:spacing w:after="0" w:line="185" w:lineRule="exact"/>
        <w:rPr>
          <w:sz w:val="20"/>
          <w:szCs w:val="20"/>
          <w:color w:val="auto"/>
        </w:rPr>
      </w:pPr>
    </w:p>
    <w:p>
      <w:pPr>
        <w:spacing w:after="0"/>
        <w:tabs>
          <w:tab w:leader="none" w:pos="4480" w:val="left"/>
          <w:tab w:leader="none" w:pos="89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4"/>
          <w:szCs w:val="14"/>
          <w:b w:val="1"/>
          <w:bCs w:val="1"/>
          <w:color w:val="auto"/>
        </w:rPr>
        <w:t>Target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780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78041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p>
      <w:pPr>
        <w:spacing w:after="0" w:line="54"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6"/>
          <w:szCs w:val="16"/>
          <w:color w:val="auto"/>
        </w:rPr>
        <w:t>We pay base salaries to provide a stable source of fixed income and</w:t>
      </w:r>
    </w:p>
    <w:p>
      <w:pPr>
        <w:ind w:left="2040"/>
        <w:spacing w:after="0" w:line="234" w:lineRule="auto"/>
        <w:rPr>
          <w:sz w:val="20"/>
          <w:szCs w:val="20"/>
          <w:color w:val="auto"/>
        </w:rPr>
      </w:pPr>
      <w:r>
        <w:rPr>
          <w:rFonts w:ascii="Arial" w:cs="Arial" w:eastAsia="Arial" w:hAnsi="Arial"/>
          <w:sz w:val="18"/>
          <w:szCs w:val="18"/>
          <w:color w:val="auto"/>
        </w:rPr>
        <w:t>to:</w:t>
      </w:r>
    </w:p>
    <w:p>
      <w:pPr>
        <w:ind w:left="2040"/>
        <w:spacing w:after="0" w:line="235" w:lineRule="auto"/>
        <w:rPr>
          <w:sz w:val="20"/>
          <w:szCs w:val="20"/>
          <w:color w:val="auto"/>
        </w:rPr>
      </w:pPr>
      <w:r>
        <w:rPr>
          <w:rFonts w:ascii="Arial" w:cs="Arial" w:eastAsia="Arial" w:hAnsi="Arial"/>
          <w:sz w:val="18"/>
          <w:szCs w:val="18"/>
          <w:color w:val="auto"/>
        </w:rPr>
        <w:t>• Recognize the contributions of our executives in their day-to-day</w:t>
      </w:r>
    </w:p>
    <w:p>
      <w:pPr>
        <w:ind w:left="2040"/>
        <w:spacing w:after="0" w:line="235" w:lineRule="auto"/>
        <w:rPr>
          <w:sz w:val="20"/>
          <w:szCs w:val="20"/>
          <w:color w:val="auto"/>
        </w:rPr>
      </w:pPr>
      <w:r>
        <w:rPr>
          <w:rFonts w:ascii="Arial" w:cs="Arial" w:eastAsia="Arial" w:hAnsi="Arial"/>
          <w:sz w:val="18"/>
          <w:szCs w:val="18"/>
          <w:color w:val="auto"/>
        </w:rPr>
        <w:t>responsibilities;</w:t>
      </w:r>
    </w:p>
    <w:p>
      <w:pPr>
        <w:ind w:left="2040"/>
        <w:spacing w:after="0" w:line="235" w:lineRule="auto"/>
        <w:rPr>
          <w:sz w:val="20"/>
          <w:szCs w:val="20"/>
          <w:color w:val="auto"/>
        </w:rPr>
      </w:pPr>
      <w:r>
        <w:rPr>
          <w:rFonts w:ascii="Arial" w:cs="Arial" w:eastAsia="Arial" w:hAnsi="Arial"/>
          <w:sz w:val="18"/>
          <w:szCs w:val="18"/>
          <w:color w:val="auto"/>
        </w:rPr>
        <w:t>• Reflect the scope and complexity of their role; and</w:t>
      </w:r>
    </w:p>
    <w:p>
      <w:pPr>
        <w:ind w:left="2040"/>
        <w:spacing w:after="0"/>
        <w:rPr>
          <w:sz w:val="20"/>
          <w:szCs w:val="20"/>
          <w:color w:val="auto"/>
        </w:rPr>
      </w:pPr>
      <w:r>
        <w:rPr>
          <w:rFonts w:ascii="Arial" w:cs="Arial" w:eastAsia="Arial" w:hAnsi="Arial"/>
          <w:sz w:val="18"/>
          <w:szCs w:val="18"/>
          <w:color w:val="auto"/>
        </w:rPr>
        <w:t>• Reflect their current and historical levels of performance.</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00"/>
        <w:spacing w:after="0" w:line="201" w:lineRule="auto"/>
        <w:rPr>
          <w:sz w:val="20"/>
          <w:szCs w:val="20"/>
          <w:color w:val="auto"/>
        </w:rPr>
      </w:pPr>
      <w:r>
        <w:rPr>
          <w:rFonts w:ascii="Arial" w:cs="Arial" w:eastAsia="Arial" w:hAnsi="Arial"/>
          <w:sz w:val="18"/>
          <w:szCs w:val="18"/>
          <w:color w:val="auto"/>
        </w:rPr>
        <w:t>We target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base salaries.</w:t>
      </w:r>
    </w:p>
    <w:p>
      <w:pPr>
        <w:sectPr>
          <w:pgSz w:w="11900" w:h="16838" w:orient="portrait"/>
          <w:cols w:equalWidth="0" w:num="2">
            <w:col w:w="7360" w:space="420"/>
            <w:col w:w="3580"/>
          </w:cols>
          <w:pgMar w:left="240" w:top="143" w:right="2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spacing w:after="0"/>
        <w:tabs>
          <w:tab w:leader="none" w:pos="4560" w:val="left"/>
          <w:tab w:leader="none" w:pos="89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4"/>
          <w:szCs w:val="14"/>
          <w:b w:val="1"/>
          <w:bCs w:val="1"/>
          <w:color w:val="auto"/>
        </w:rPr>
        <w:t>Target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452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45237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54"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Annual Cash Incentives</w:t>
      </w:r>
      <w:r>
        <w:rPr>
          <w:sz w:val="20"/>
          <w:szCs w:val="20"/>
          <w:color w:val="auto"/>
        </w:rPr>
        <w:tab/>
      </w:r>
      <w:r>
        <w:rPr>
          <w:rFonts w:ascii="Arial" w:cs="Arial" w:eastAsia="Arial" w:hAnsi="Arial"/>
          <w:sz w:val="16"/>
          <w:szCs w:val="16"/>
          <w:color w:val="auto"/>
        </w:rPr>
        <w:t>We currently provide annual cash incentives to our executives that</w:t>
      </w:r>
    </w:p>
    <w:p>
      <w:pPr>
        <w:ind w:left="2140"/>
        <w:spacing w:after="0" w:line="234" w:lineRule="auto"/>
        <w:rPr>
          <w:sz w:val="20"/>
          <w:szCs w:val="20"/>
          <w:color w:val="auto"/>
        </w:rPr>
      </w:pPr>
      <w:r>
        <w:rPr>
          <w:rFonts w:ascii="Arial" w:cs="Arial" w:eastAsia="Arial" w:hAnsi="Arial"/>
          <w:sz w:val="18"/>
          <w:szCs w:val="18"/>
          <w:color w:val="auto"/>
        </w:rPr>
        <w:t>motivate attainment of annual financial business goals through The</w:t>
      </w:r>
    </w:p>
    <w:p>
      <w:pPr>
        <w:ind w:left="2140"/>
        <w:spacing w:after="0" w:line="235" w:lineRule="auto"/>
        <w:rPr>
          <w:sz w:val="20"/>
          <w:szCs w:val="20"/>
          <w:color w:val="auto"/>
        </w:rPr>
      </w:pPr>
      <w:r>
        <w:rPr>
          <w:rFonts w:ascii="Arial" w:cs="Arial" w:eastAsia="Arial" w:hAnsi="Arial"/>
          <w:sz w:val="18"/>
          <w:szCs w:val="18"/>
          <w:color w:val="auto"/>
        </w:rPr>
        <w:t>Toro Company Annual Management Incentive Plan II, or AMIP. We</w:t>
      </w:r>
    </w:p>
    <w:p>
      <w:pPr>
        <w:ind w:left="2140"/>
        <w:spacing w:after="0" w:line="235" w:lineRule="auto"/>
        <w:rPr>
          <w:sz w:val="20"/>
          <w:szCs w:val="20"/>
          <w:color w:val="auto"/>
        </w:rPr>
      </w:pPr>
      <w:r>
        <w:rPr>
          <w:rFonts w:ascii="Arial" w:cs="Arial" w:eastAsia="Arial" w:hAnsi="Arial"/>
          <w:sz w:val="18"/>
          <w:szCs w:val="18"/>
          <w:color w:val="auto"/>
        </w:rPr>
        <w:t>believe that these annual financial business goals are operational</w:t>
      </w:r>
    </w:p>
    <w:p>
      <w:pPr>
        <w:ind w:left="2140"/>
        <w:spacing w:after="0" w:line="235" w:lineRule="auto"/>
        <w:rPr>
          <w:sz w:val="20"/>
          <w:szCs w:val="20"/>
          <w:color w:val="auto"/>
        </w:rPr>
      </w:pPr>
      <w:r>
        <w:rPr>
          <w:rFonts w:ascii="Arial" w:cs="Arial" w:eastAsia="Arial" w:hAnsi="Arial"/>
          <w:sz w:val="18"/>
          <w:szCs w:val="18"/>
          <w:color w:val="auto"/>
        </w:rPr>
        <w:t>drivers of long-term value creation for our shareholders and ensure</w:t>
      </w:r>
    </w:p>
    <w:p>
      <w:pPr>
        <w:ind w:left="2140"/>
        <w:spacing w:after="0" w:line="235" w:lineRule="auto"/>
        <w:rPr>
          <w:sz w:val="20"/>
          <w:szCs w:val="20"/>
          <w:color w:val="auto"/>
        </w:rPr>
      </w:pPr>
      <w:r>
        <w:rPr>
          <w:rFonts w:ascii="Arial" w:cs="Arial" w:eastAsia="Arial" w:hAnsi="Arial"/>
          <w:sz w:val="18"/>
          <w:szCs w:val="18"/>
          <w:color w:val="auto"/>
        </w:rPr>
        <w:t>alignment of pay with performance. In fiscal 2009, annual financial</w:t>
      </w:r>
    </w:p>
    <w:p>
      <w:pPr>
        <w:ind w:left="2140"/>
        <w:spacing w:after="0" w:line="235" w:lineRule="auto"/>
        <w:rPr>
          <w:sz w:val="20"/>
          <w:szCs w:val="20"/>
          <w:color w:val="auto"/>
        </w:rPr>
      </w:pPr>
      <w:r>
        <w:rPr>
          <w:rFonts w:ascii="Arial" w:cs="Arial" w:eastAsia="Arial" w:hAnsi="Arial"/>
          <w:sz w:val="18"/>
          <w:szCs w:val="18"/>
          <w:color w:val="auto"/>
        </w:rPr>
        <w:t>business goals for corporate participants were based solely on:</w:t>
      </w:r>
    </w:p>
    <w:p>
      <w:pPr>
        <w:ind w:left="2140"/>
        <w:spacing w:after="0" w:line="235" w:lineRule="auto"/>
        <w:rPr>
          <w:sz w:val="20"/>
          <w:szCs w:val="20"/>
          <w:color w:val="auto"/>
        </w:rPr>
      </w:pPr>
      <w:r>
        <w:rPr>
          <w:rFonts w:ascii="Arial" w:cs="Arial" w:eastAsia="Arial" w:hAnsi="Arial"/>
          <w:sz w:val="18"/>
          <w:szCs w:val="18"/>
          <w:color w:val="auto"/>
        </w:rPr>
        <w:t>• Corporate revenue growth;</w:t>
      </w:r>
    </w:p>
    <w:p>
      <w:pPr>
        <w:ind w:left="2140"/>
        <w:spacing w:after="0" w:line="235" w:lineRule="auto"/>
        <w:rPr>
          <w:sz w:val="20"/>
          <w:szCs w:val="20"/>
          <w:color w:val="auto"/>
        </w:rPr>
      </w:pPr>
      <w:r>
        <w:rPr>
          <w:rFonts w:ascii="Arial" w:cs="Arial" w:eastAsia="Arial" w:hAnsi="Arial"/>
          <w:sz w:val="18"/>
          <w:szCs w:val="18"/>
          <w:color w:val="auto"/>
        </w:rPr>
        <w:t>• Fully diluted earnings per share, or EPS; and</w:t>
      </w:r>
    </w:p>
    <w:p>
      <w:pPr>
        <w:ind w:left="2140"/>
        <w:spacing w:after="0"/>
        <w:rPr>
          <w:sz w:val="20"/>
          <w:szCs w:val="20"/>
          <w:color w:val="auto"/>
        </w:rPr>
      </w:pPr>
      <w:r>
        <w:rPr>
          <w:rFonts w:ascii="Arial" w:cs="Arial" w:eastAsia="Arial" w:hAnsi="Arial"/>
          <w:sz w:val="16"/>
          <w:szCs w:val="16"/>
          <w:color w:val="auto"/>
        </w:rPr>
        <w:t>• Corporate average net assets turns (12 months average net assets</w:t>
      </w:r>
    </w:p>
    <w:p>
      <w:pPr>
        <w:spacing w:after="0" w:line="1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of the Company, excluding long-term debt and excess cash, divided</w:t>
      </w:r>
    </w:p>
    <w:p>
      <w:pPr>
        <w:ind w:left="2140"/>
        <w:spacing w:after="0" w:line="234" w:lineRule="auto"/>
        <w:rPr>
          <w:sz w:val="20"/>
          <w:szCs w:val="20"/>
          <w:color w:val="auto"/>
        </w:rPr>
      </w:pPr>
      <w:r>
        <w:rPr>
          <w:rFonts w:ascii="Arial" w:cs="Arial" w:eastAsia="Arial" w:hAnsi="Arial"/>
          <w:sz w:val="18"/>
          <w:szCs w:val="18"/>
          <w:color w:val="auto"/>
        </w:rPr>
        <w:t>by the cost of goods sold).</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In fiscal 2009, annual financial business goals for division participants</w:t>
      </w:r>
    </w:p>
    <w:p>
      <w:pPr>
        <w:spacing w:after="0" w:line="19"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were based 50% on the corporate financial business goals discussed</w:t>
      </w:r>
    </w:p>
    <w:p>
      <w:pPr>
        <w:spacing w:after="0" w:line="1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above and 50% on division financial business goals of:</w:t>
      </w:r>
    </w:p>
    <w:p>
      <w:pPr>
        <w:ind w:left="2140"/>
        <w:spacing w:after="0" w:line="234" w:lineRule="auto"/>
        <w:rPr>
          <w:sz w:val="20"/>
          <w:szCs w:val="20"/>
          <w:color w:val="auto"/>
        </w:rPr>
      </w:pPr>
      <w:r>
        <w:rPr>
          <w:rFonts w:ascii="Arial" w:cs="Arial" w:eastAsia="Arial" w:hAnsi="Arial"/>
          <w:sz w:val="18"/>
          <w:szCs w:val="18"/>
          <w:color w:val="auto"/>
        </w:rPr>
        <w:t>• Controllable profit contribution, or CPC (divisional operating</w:t>
      </w:r>
    </w:p>
    <w:p>
      <w:pPr>
        <w:ind w:left="2140"/>
        <w:spacing w:after="0" w:line="235" w:lineRule="auto"/>
        <w:rPr>
          <w:sz w:val="20"/>
          <w:szCs w:val="20"/>
          <w:color w:val="auto"/>
        </w:rPr>
      </w:pPr>
      <w:r>
        <w:rPr>
          <w:rFonts w:ascii="Arial" w:cs="Arial" w:eastAsia="Arial" w:hAnsi="Arial"/>
          <w:sz w:val="18"/>
          <w:szCs w:val="18"/>
          <w:color w:val="auto"/>
        </w:rPr>
        <w:t>earnings, excluding other income or expense); and</w:t>
      </w:r>
    </w:p>
    <w:p>
      <w:pPr>
        <w:ind w:left="2140"/>
        <w:spacing w:after="0" w:line="235" w:lineRule="auto"/>
        <w:rPr>
          <w:sz w:val="20"/>
          <w:szCs w:val="20"/>
          <w:color w:val="auto"/>
        </w:rPr>
      </w:pPr>
      <w:r>
        <w:rPr>
          <w:rFonts w:ascii="Arial" w:cs="Arial" w:eastAsia="Arial" w:hAnsi="Arial"/>
          <w:sz w:val="18"/>
          <w:szCs w:val="18"/>
          <w:color w:val="auto"/>
        </w:rPr>
        <w:t>• Division working capital as a percent of sales (which for fiscal 2009</w:t>
      </w:r>
    </w:p>
    <w:p>
      <w:pPr>
        <w:ind w:left="2140"/>
        <w:spacing w:after="0" w:line="235" w:lineRule="auto"/>
        <w:rPr>
          <w:sz w:val="20"/>
          <w:szCs w:val="20"/>
          <w:color w:val="auto"/>
        </w:rPr>
      </w:pPr>
      <w:r>
        <w:rPr>
          <w:rFonts w:ascii="Arial" w:cs="Arial" w:eastAsia="Arial" w:hAnsi="Arial"/>
          <w:sz w:val="18"/>
          <w:szCs w:val="18"/>
          <w:color w:val="auto"/>
        </w:rPr>
        <w:t>replaced divisional current assets turns).</w:t>
      </w:r>
    </w:p>
    <w:p>
      <w:pPr>
        <w:spacing w:after="0"/>
        <w:tabs>
          <w:tab w:leader="none" w:pos="2120" w:val="left"/>
        </w:tabs>
        <w:rPr>
          <w:sz w:val="20"/>
          <w:szCs w:val="20"/>
          <w:color w:val="auto"/>
        </w:rPr>
      </w:pPr>
      <w:r>
        <w:rPr>
          <w:rFonts w:ascii="Arial" w:cs="Arial" w:eastAsia="Arial" w:hAnsi="Arial"/>
          <w:sz w:val="18"/>
          <w:szCs w:val="18"/>
          <w:color w:val="auto"/>
        </w:rPr>
        <w:t>Long-Term Incentives</w:t>
      </w:r>
      <w:r>
        <w:rPr>
          <w:sz w:val="20"/>
          <w:szCs w:val="20"/>
          <w:color w:val="auto"/>
        </w:rPr>
        <w:tab/>
      </w:r>
      <w:r>
        <w:rPr>
          <w:rFonts w:ascii="Arial" w:cs="Arial" w:eastAsia="Arial" w:hAnsi="Arial"/>
          <w:sz w:val="16"/>
          <w:szCs w:val="16"/>
          <w:color w:val="auto"/>
        </w:rPr>
        <w:t>We currently provide long-term incentives in the form of stock options</w:t>
      </w:r>
    </w:p>
    <w:p>
      <w:pPr>
        <w:spacing w:after="0"/>
        <w:tabs>
          <w:tab w:leader="none" w:pos="2120" w:val="left"/>
        </w:tabs>
        <w:rPr>
          <w:sz w:val="20"/>
          <w:szCs w:val="20"/>
          <w:color w:val="auto"/>
        </w:rPr>
      </w:pPr>
      <w:r>
        <w:rPr>
          <w:rFonts w:ascii="Arial" w:cs="Arial" w:eastAsia="Arial" w:hAnsi="Arial"/>
          <w:sz w:val="18"/>
          <w:szCs w:val="18"/>
          <w:color w:val="auto"/>
        </w:rPr>
        <w:t>• Stock options</w:t>
      </w:r>
      <w:r>
        <w:rPr>
          <w:sz w:val="20"/>
          <w:szCs w:val="20"/>
          <w:color w:val="auto"/>
        </w:rPr>
        <w:tab/>
      </w:r>
      <w:r>
        <w:rPr>
          <w:rFonts w:ascii="Arial" w:cs="Arial" w:eastAsia="Arial" w:hAnsi="Arial"/>
          <w:sz w:val="16"/>
          <w:szCs w:val="16"/>
          <w:color w:val="auto"/>
        </w:rPr>
        <w:t>and performance share awards, which are paid out in shares of our</w:t>
      </w:r>
    </w:p>
    <w:p>
      <w:pPr>
        <w:spacing w:after="0"/>
        <w:tabs>
          <w:tab w:leader="none" w:pos="2120" w:val="left"/>
        </w:tabs>
        <w:rPr>
          <w:sz w:val="20"/>
          <w:szCs w:val="20"/>
          <w:color w:val="auto"/>
        </w:rPr>
      </w:pPr>
      <w:r>
        <w:rPr>
          <w:rFonts w:ascii="Arial" w:cs="Arial" w:eastAsia="Arial" w:hAnsi="Arial"/>
          <w:sz w:val="18"/>
          <w:szCs w:val="18"/>
          <w:color w:val="auto"/>
        </w:rPr>
        <w:t>• Performance share</w:t>
      </w:r>
      <w:r>
        <w:rPr>
          <w:sz w:val="20"/>
          <w:szCs w:val="20"/>
          <w:color w:val="auto"/>
        </w:rPr>
        <w:tab/>
      </w:r>
      <w:r>
        <w:rPr>
          <w:rFonts w:ascii="Arial" w:cs="Arial" w:eastAsia="Arial" w:hAnsi="Arial"/>
          <w:sz w:val="16"/>
          <w:szCs w:val="16"/>
          <w:color w:val="auto"/>
        </w:rPr>
        <w:t>common stock. We believe that the use of long-term incentives helps</w:t>
      </w:r>
    </w:p>
    <w:p>
      <w:pPr>
        <w:spacing w:after="0" w:line="235" w:lineRule="auto"/>
        <w:tabs>
          <w:tab w:leader="none" w:pos="2120" w:val="left"/>
        </w:tabs>
        <w:rPr>
          <w:sz w:val="20"/>
          <w:szCs w:val="20"/>
          <w:color w:val="auto"/>
        </w:rPr>
      </w:pPr>
      <w:r>
        <w:rPr>
          <w:rFonts w:ascii="Arial" w:cs="Arial" w:eastAsia="Arial" w:hAnsi="Arial"/>
          <w:sz w:val="18"/>
          <w:szCs w:val="18"/>
          <w:color w:val="auto"/>
        </w:rPr>
        <w:t>awards</w:t>
      </w:r>
      <w:r>
        <w:rPr>
          <w:sz w:val="20"/>
          <w:szCs w:val="20"/>
          <w:color w:val="auto"/>
        </w:rPr>
        <w:tab/>
      </w:r>
      <w:r>
        <w:rPr>
          <w:rFonts w:ascii="Arial" w:cs="Arial" w:eastAsia="Arial" w:hAnsi="Arial"/>
          <w:sz w:val="18"/>
          <w:szCs w:val="18"/>
          <w:color w:val="auto"/>
        </w:rPr>
        <w:t>to:</w:t>
      </w:r>
    </w:p>
    <w:p>
      <w:pPr>
        <w:ind w:left="2140"/>
        <w:spacing w:after="0" w:line="235" w:lineRule="auto"/>
        <w:rPr>
          <w:sz w:val="20"/>
          <w:szCs w:val="20"/>
          <w:color w:val="auto"/>
        </w:rPr>
      </w:pPr>
      <w:r>
        <w:rPr>
          <w:rFonts w:ascii="Arial" w:cs="Arial" w:eastAsia="Arial" w:hAnsi="Arial"/>
          <w:sz w:val="18"/>
          <w:szCs w:val="18"/>
          <w:color w:val="auto"/>
        </w:rPr>
        <w:t>• Align the interests of our executives and our shareholders;</w:t>
      </w:r>
    </w:p>
    <w:p>
      <w:pPr>
        <w:ind w:left="2140"/>
        <w:spacing w:after="0" w:line="234" w:lineRule="auto"/>
        <w:rPr>
          <w:sz w:val="20"/>
          <w:szCs w:val="20"/>
          <w:color w:val="auto"/>
        </w:rPr>
      </w:pPr>
      <w:r>
        <w:rPr>
          <w:rFonts w:ascii="Arial" w:cs="Arial" w:eastAsia="Arial" w:hAnsi="Arial"/>
          <w:sz w:val="18"/>
          <w:szCs w:val="18"/>
          <w:color w:val="auto"/>
        </w:rPr>
        <w:t>• Encourage focus on long-term performance of the Company;</w:t>
      </w:r>
    </w:p>
    <w:p>
      <w:pPr>
        <w:ind w:left="2140"/>
        <w:spacing w:after="0" w:line="235" w:lineRule="auto"/>
        <w:rPr>
          <w:sz w:val="20"/>
          <w:szCs w:val="20"/>
          <w:color w:val="auto"/>
        </w:rPr>
      </w:pPr>
      <w:r>
        <w:rPr>
          <w:rFonts w:ascii="Arial" w:cs="Arial" w:eastAsia="Arial" w:hAnsi="Arial"/>
          <w:sz w:val="18"/>
          <w:szCs w:val="18"/>
          <w:color w:val="auto"/>
        </w:rPr>
        <w:t>• Promote long-term retention of our executives; and</w:t>
      </w:r>
    </w:p>
    <w:p>
      <w:pPr>
        <w:ind w:left="2140"/>
        <w:spacing w:after="0" w:line="235" w:lineRule="auto"/>
        <w:rPr>
          <w:sz w:val="20"/>
          <w:szCs w:val="20"/>
          <w:color w:val="auto"/>
        </w:rPr>
      </w:pPr>
      <w:r>
        <w:rPr>
          <w:rFonts w:ascii="Arial" w:cs="Arial" w:eastAsia="Arial" w:hAnsi="Arial"/>
          <w:sz w:val="18"/>
          <w:szCs w:val="18"/>
          <w:color w:val="auto"/>
        </w:rPr>
        <w:t>• Encourage significant ownership of our common stock.</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Stock options vest in three approximately equal installments on each</w:t>
      </w:r>
    </w:p>
    <w:p>
      <w:pPr>
        <w:spacing w:after="0" w:line="1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of the first, second and third year anniversaries of the date of grant</w:t>
      </w:r>
    </w:p>
    <w:p>
      <w:pPr>
        <w:ind w:left="2140"/>
        <w:spacing w:after="0" w:line="234" w:lineRule="auto"/>
        <w:rPr>
          <w:sz w:val="20"/>
          <w:szCs w:val="20"/>
          <w:color w:val="auto"/>
        </w:rPr>
      </w:pPr>
      <w:r>
        <w:rPr>
          <w:rFonts w:ascii="Arial" w:cs="Arial" w:eastAsia="Arial" w:hAnsi="Arial"/>
          <w:sz w:val="18"/>
          <w:szCs w:val="18"/>
          <w:color w:val="auto"/>
        </w:rPr>
        <w:t>and are exercisable for a period of 10 years following the date of</w:t>
      </w:r>
    </w:p>
    <w:p>
      <w:pPr>
        <w:ind w:left="2140"/>
        <w:spacing w:after="0" w:line="235" w:lineRule="auto"/>
        <w:rPr>
          <w:sz w:val="20"/>
          <w:szCs w:val="20"/>
          <w:color w:val="auto"/>
        </w:rPr>
      </w:pPr>
      <w:r>
        <w:rPr>
          <w:rFonts w:ascii="Arial" w:cs="Arial" w:eastAsia="Arial" w:hAnsi="Arial"/>
          <w:sz w:val="18"/>
          <w:szCs w:val="18"/>
          <w:color w:val="auto"/>
        </w:rPr>
        <w:t>grant.</w:t>
      </w:r>
    </w:p>
    <w:p>
      <w:pPr>
        <w:ind w:left="2140"/>
        <w:spacing w:after="0" w:line="235" w:lineRule="auto"/>
        <w:rPr>
          <w:sz w:val="20"/>
          <w:szCs w:val="20"/>
          <w:color w:val="auto"/>
        </w:rPr>
      </w:pPr>
      <w:r>
        <w:rPr>
          <w:rFonts w:ascii="Arial" w:cs="Arial" w:eastAsia="Arial" w:hAnsi="Arial"/>
          <w:sz w:val="18"/>
          <w:szCs w:val="18"/>
          <w:color w:val="auto"/>
        </w:rPr>
        <w:t>Performance share awards are issued annually and are paid out at</w:t>
      </w:r>
    </w:p>
    <w:p>
      <w:pPr>
        <w:ind w:left="2140"/>
        <w:spacing w:after="0" w:line="235" w:lineRule="auto"/>
        <w:rPr>
          <w:sz w:val="20"/>
          <w:szCs w:val="20"/>
          <w:color w:val="auto"/>
        </w:rPr>
      </w:pPr>
      <w:r>
        <w:rPr>
          <w:rFonts w:ascii="Arial" w:cs="Arial" w:eastAsia="Arial" w:hAnsi="Arial"/>
          <w:sz w:val="18"/>
          <w:szCs w:val="18"/>
          <w:color w:val="auto"/>
        </w:rPr>
        <w:t>the end of a three-year award term. For the award term ending in</w:t>
      </w:r>
    </w:p>
    <w:p>
      <w:pPr>
        <w:ind w:left="2140"/>
        <w:spacing w:after="0"/>
        <w:rPr>
          <w:sz w:val="20"/>
          <w:szCs w:val="20"/>
          <w:color w:val="auto"/>
        </w:rPr>
      </w:pPr>
      <w:r>
        <w:rPr>
          <w:rFonts w:ascii="Arial" w:cs="Arial" w:eastAsia="Arial" w:hAnsi="Arial"/>
          <w:sz w:val="16"/>
          <w:szCs w:val="16"/>
          <w:color w:val="auto"/>
        </w:rPr>
        <w:t>fiscal 2009, the performance measures (which were weighted equally)</w:t>
      </w:r>
    </w:p>
    <w:p>
      <w:pPr>
        <w:spacing w:after="0" w:line="14"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included:</w:t>
      </w:r>
    </w:p>
    <w:p>
      <w:pPr>
        <w:ind w:left="2140"/>
        <w:spacing w:after="0" w:line="234" w:lineRule="auto"/>
        <w:rPr>
          <w:sz w:val="20"/>
          <w:szCs w:val="20"/>
          <w:color w:val="auto"/>
        </w:rPr>
      </w:pPr>
      <w:r>
        <w:rPr>
          <w:rFonts w:ascii="Arial" w:cs="Arial" w:eastAsia="Arial" w:hAnsi="Arial"/>
          <w:sz w:val="18"/>
          <w:szCs w:val="18"/>
          <w:color w:val="auto"/>
        </w:rPr>
        <w:t>• Cumulative net income plus after-tax interest (aggregate of net</w:t>
      </w:r>
    </w:p>
    <w:p>
      <w:pPr>
        <w:ind w:left="2140"/>
        <w:spacing w:after="0" w:line="235" w:lineRule="auto"/>
        <w:rPr>
          <w:sz w:val="20"/>
          <w:szCs w:val="20"/>
          <w:color w:val="auto"/>
        </w:rPr>
      </w:pPr>
      <w:r>
        <w:rPr>
          <w:rFonts w:ascii="Arial" w:cs="Arial" w:eastAsia="Arial" w:hAnsi="Arial"/>
          <w:sz w:val="18"/>
          <w:szCs w:val="18"/>
          <w:color w:val="auto"/>
        </w:rPr>
        <w:t>income plus interest expense net of income tax effect); and</w:t>
      </w:r>
    </w:p>
    <w:p>
      <w:pPr>
        <w:ind w:left="2140"/>
        <w:spacing w:after="0" w:line="235" w:lineRule="auto"/>
        <w:rPr>
          <w:sz w:val="20"/>
          <w:szCs w:val="20"/>
          <w:color w:val="auto"/>
        </w:rPr>
      </w:pPr>
      <w:r>
        <w:rPr>
          <w:rFonts w:ascii="Arial" w:cs="Arial" w:eastAsia="Arial" w:hAnsi="Arial"/>
          <w:sz w:val="18"/>
          <w:szCs w:val="18"/>
          <w:color w:val="auto"/>
        </w:rPr>
        <w:t>• Cumulative corporate average net assets turns (aggregate of three</w:t>
      </w:r>
    </w:p>
    <w:p>
      <w:pPr>
        <w:ind w:left="2140"/>
        <w:spacing w:after="0" w:line="235" w:lineRule="auto"/>
        <w:rPr>
          <w:sz w:val="20"/>
          <w:szCs w:val="20"/>
          <w:color w:val="auto"/>
        </w:rPr>
      </w:pPr>
      <w:r>
        <w:rPr>
          <w:rFonts w:ascii="Arial" w:cs="Arial" w:eastAsia="Arial" w:hAnsi="Arial"/>
          <w:sz w:val="18"/>
          <w:szCs w:val="18"/>
          <w:color w:val="auto"/>
        </w:rPr>
        <w:t>years of annual corporate average net assets turns).</w:t>
      </w:r>
    </w:p>
    <w:p>
      <w:pPr>
        <w:ind w:left="2140"/>
        <w:spacing w:after="0" w:line="235" w:lineRule="auto"/>
        <w:rPr>
          <w:sz w:val="20"/>
          <w:szCs w:val="20"/>
          <w:color w:val="auto"/>
        </w:rPr>
      </w:pPr>
      <w:r>
        <w:rPr>
          <w:rFonts w:ascii="Arial" w:cs="Arial" w:eastAsia="Arial" w:hAnsi="Arial"/>
          <w:sz w:val="18"/>
          <w:szCs w:val="18"/>
          <w:color w:val="auto"/>
        </w:rPr>
        <w:t>For the fiscal 2008 to fiscal 2010 award term, we added cumulative</w:t>
      </w:r>
    </w:p>
    <w:p>
      <w:pPr>
        <w:ind w:left="2140"/>
        <w:spacing w:after="0"/>
        <w:rPr>
          <w:sz w:val="20"/>
          <w:szCs w:val="20"/>
          <w:color w:val="auto"/>
        </w:rPr>
      </w:pPr>
      <w:r>
        <w:rPr>
          <w:rFonts w:ascii="Arial" w:cs="Arial" w:eastAsia="Arial" w:hAnsi="Arial"/>
          <w:sz w:val="18"/>
          <w:szCs w:val="18"/>
          <w:color w:val="auto"/>
        </w:rPr>
        <w:t>revenue as a performance measure.</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target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total cash compensation (sum of base salary and annual cash incentives) when annual cash incentives are paid at target. Target awards for an individual may be adjusted based on internal positioning, experience, tenure within Toro or the position and individual performance. Actual payouts range from below</w:t>
      </w:r>
    </w:p>
    <w:p>
      <w:pPr>
        <w:spacing w:after="0" w:line="6" w:lineRule="exact"/>
        <w:rPr>
          <w:sz w:val="20"/>
          <w:szCs w:val="20"/>
          <w:color w:val="auto"/>
        </w:rPr>
      </w:pPr>
    </w:p>
    <w:p>
      <w:pPr>
        <w:ind w:right="740"/>
        <w:spacing w:after="0" w:line="210" w:lineRule="auto"/>
        <w:rPr>
          <w:sz w:val="20"/>
          <w:szCs w:val="20"/>
          <w:color w:val="auto"/>
        </w:rPr>
      </w:pPr>
      <w:r>
        <w:rPr>
          <w:rFonts w:ascii="Arial" w:cs="Arial" w:eastAsia="Arial" w:hAnsi="Arial"/>
          <w:sz w:val="18"/>
          <w:szCs w:val="18"/>
          <w:color w:val="auto"/>
        </w:rPr>
        <w:t>to above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based on corporate performance and division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We historically have targeted the market</w:t>
      </w:r>
    </w:p>
    <w:p>
      <w:pPr>
        <w:ind w:right="20"/>
        <w:spacing w:after="0" w:line="223" w:lineRule="auto"/>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long-term incentives. Actual long-term incentive grants for an individual may be adjusted based on internal positioning, experience, tenure within Toro or the position and individual performance. We also maintain stock ownership guidelines to encourage significant stock ownership.</w:t>
      </w:r>
    </w:p>
    <w:p>
      <w:pPr>
        <w:sectPr>
          <w:pgSz w:w="11900" w:h="16838" w:orient="portrait"/>
          <w:cols w:equalWidth="0" w:num="2">
            <w:col w:w="7580" w:space="200"/>
            <w:col w:w="3640"/>
          </w:cols>
          <w:pgMar w:left="240" w:top="143"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w:t>
            </w:r>
          </w:p>
        </w:tc>
        <w:tc>
          <w:tcPr>
            <w:tcW w:w="572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Purpose</w:t>
            </w:r>
          </w:p>
        </w:tc>
        <w:tc>
          <w:tcPr>
            <w:tcW w:w="37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Target Positioning</w:t>
            </w:r>
          </w:p>
        </w:tc>
      </w:tr>
      <w:tr>
        <w:trPr>
          <w:trHeight w:val="205"/>
        </w:trPr>
        <w:tc>
          <w:tcPr>
            <w:tcW w:w="19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Retirement and Health</w:t>
            </w:r>
          </w:p>
        </w:tc>
        <w:tc>
          <w:tcPr>
            <w:tcW w:w="572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We provide health and welfare benefits and a retirement plan to help</w:t>
            </w:r>
          </w:p>
        </w:tc>
        <w:tc>
          <w:tcPr>
            <w:tcW w:w="374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We review our retirement and health benefits</w:t>
            </w:r>
          </w:p>
        </w:tc>
      </w:tr>
      <w:tr>
        <w:trPr>
          <w:trHeight w:val="203"/>
        </w:trPr>
        <w:tc>
          <w:tcPr>
            <w:tcW w:w="1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w:t>
            </w: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provide for the physical and financial health and security of our</w:t>
            </w: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against the market, utilizing the expertise of</w:t>
            </w: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8"/>
              </w:rPr>
              <w:t>executives. Our executives participate in the same benefit plans made</w:t>
            </w: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external consulting firms. We believe that our</w:t>
            </w: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 to our United States office salaried employees. These</w:t>
            </w: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benefits and plans are consistent with</w:t>
            </w: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include:</w:t>
            </w: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retirement and health benefits and plans</w:t>
            </w: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The Toro Company Investment, Savings &amp; Employee Stock</w:t>
            </w: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provided at other companies with whom we</w:t>
            </w: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Plan, or IS&amp;ESOP, which is a 401(k) plan with a company</w:t>
            </w:r>
          </w:p>
        </w:tc>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compete for talent.</w:t>
            </w: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match and two other company contributions (an investment savings</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contribution and an ESOP contribution) ;</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The Toro Company Retirement Plan for Office and Hourly</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Employees, which is a floor offset pension plan that is intended to</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provide a minimum level of benefits in the event that the IS&amp;ESOP</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does not provide such minimum level of benefits;</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Medical and dental insurance; and</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 Life, accidental death and dismemberment, and long-term disability</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insurance.</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We also maintain three nonqualified plans: The Toro Company</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Compensation Plan and The Toro Company Deferred</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Plan for Officers, which are plans into which the</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executives can defer base salaries, annual cash incentives and</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performance share awards, and The Toro Company Supplemental</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Benefit Plan which provides benefits for a select group of highly</w:t>
            </w:r>
          </w:p>
        </w:tc>
        <w:tc>
          <w:tcPr>
            <w:tcW w:w="3740" w:type="dxa"/>
            <w:vAlign w:val="bottom"/>
            <w:shd w:val="clear" w:color="auto" w:fill="CCEEFF"/>
          </w:tcPr>
          <w:p>
            <w:pPr>
              <w:spacing w:after="0"/>
              <w:rPr>
                <w:sz w:val="17"/>
                <w:szCs w:val="17"/>
                <w:color w:val="auto"/>
              </w:rPr>
            </w:pPr>
          </w:p>
        </w:tc>
      </w:tr>
      <w:tr>
        <w:trPr>
          <w:trHeight w:val="203"/>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compensated employees in excess of the limits on benefits and</w:t>
            </w:r>
          </w:p>
        </w:tc>
        <w:tc>
          <w:tcPr>
            <w:tcW w:w="3740" w:type="dxa"/>
            <w:vAlign w:val="bottom"/>
            <w:shd w:val="clear" w:color="auto" w:fill="CCEEFF"/>
          </w:tcPr>
          <w:p>
            <w:pPr>
              <w:spacing w:after="0"/>
              <w:rPr>
                <w:sz w:val="17"/>
                <w:szCs w:val="17"/>
                <w:color w:val="auto"/>
              </w:rPr>
            </w:pPr>
          </w:p>
        </w:tc>
      </w:tr>
      <w:tr>
        <w:trPr>
          <w:trHeight w:val="199"/>
        </w:trPr>
        <w:tc>
          <w:tcPr>
            <w:tcW w:w="1960" w:type="dxa"/>
            <w:vAlign w:val="bottom"/>
            <w:shd w:val="clear" w:color="auto" w:fill="CCEEFF"/>
          </w:tcPr>
          <w:p>
            <w:pPr>
              <w:spacing w:after="0"/>
              <w:rPr>
                <w:sz w:val="17"/>
                <w:szCs w:val="17"/>
                <w:color w:val="auto"/>
              </w:rPr>
            </w:pPr>
          </w:p>
        </w:tc>
        <w:tc>
          <w:tcPr>
            <w:tcW w:w="57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contributions imposed by Sections 401(a)(17) and 415 of the Code.</w:t>
            </w:r>
          </w:p>
        </w:tc>
        <w:tc>
          <w:tcPr>
            <w:tcW w:w="3740" w:type="dxa"/>
            <w:vAlign w:val="bottom"/>
            <w:shd w:val="clear" w:color="auto" w:fill="CCEEFF"/>
          </w:tcPr>
          <w:p>
            <w:pPr>
              <w:spacing w:after="0"/>
              <w:rPr>
                <w:sz w:val="17"/>
                <w:szCs w:val="17"/>
                <w:color w:val="auto"/>
              </w:rPr>
            </w:pPr>
          </w:p>
        </w:tc>
      </w:tr>
      <w:tr>
        <w:trPr>
          <w:trHeight w:val="206"/>
        </w:trPr>
        <w:tc>
          <w:tcPr>
            <w:tcW w:w="1960" w:type="dxa"/>
            <w:vAlign w:val="bottom"/>
          </w:tcPr>
          <w:p>
            <w:pPr>
              <w:spacing w:after="0" w:line="206" w:lineRule="exact"/>
              <w:rPr>
                <w:sz w:val="20"/>
                <w:szCs w:val="20"/>
                <w:color w:val="auto"/>
              </w:rPr>
            </w:pPr>
            <w:r>
              <w:rPr>
                <w:rFonts w:ascii="Arial" w:cs="Arial" w:eastAsia="Arial" w:hAnsi="Arial"/>
                <w:sz w:val="18"/>
                <w:szCs w:val="18"/>
                <w:color w:val="auto"/>
              </w:rPr>
              <w:t>Perquisites</w:t>
            </w:r>
          </w:p>
        </w:tc>
        <w:tc>
          <w:tcPr>
            <w:tcW w:w="5720" w:type="dxa"/>
            <w:vAlign w:val="bottom"/>
          </w:tcPr>
          <w:p>
            <w:pPr>
              <w:ind w:left="180"/>
              <w:spacing w:after="0" w:line="206" w:lineRule="exact"/>
              <w:rPr>
                <w:sz w:val="20"/>
                <w:szCs w:val="20"/>
                <w:color w:val="auto"/>
              </w:rPr>
            </w:pPr>
            <w:r>
              <w:rPr>
                <w:rFonts w:ascii="Arial" w:cs="Arial" w:eastAsia="Arial" w:hAnsi="Arial"/>
                <w:sz w:val="18"/>
                <w:szCs w:val="18"/>
                <w:color w:val="auto"/>
              </w:rPr>
              <w:t>We provide perquisites that we believe are typical in the market for</w:t>
            </w:r>
          </w:p>
        </w:tc>
        <w:tc>
          <w:tcPr>
            <w:tcW w:w="3740" w:type="dxa"/>
            <w:vAlign w:val="bottom"/>
          </w:tcPr>
          <w:p>
            <w:pPr>
              <w:ind w:left="100"/>
              <w:spacing w:after="0" w:line="206" w:lineRule="exact"/>
              <w:rPr>
                <w:sz w:val="20"/>
                <w:szCs w:val="20"/>
                <w:color w:val="auto"/>
              </w:rPr>
            </w:pPr>
            <w:r>
              <w:rPr>
                <w:rFonts w:ascii="Arial" w:cs="Arial" w:eastAsia="Arial" w:hAnsi="Arial"/>
                <w:sz w:val="18"/>
                <w:szCs w:val="18"/>
                <w:color w:val="auto"/>
              </w:rPr>
              <w:t>We provide perquisites that we believe</w:t>
            </w:r>
          </w:p>
        </w:tc>
      </w:tr>
      <w:tr>
        <w:trPr>
          <w:trHeight w:val="203"/>
        </w:trPr>
        <w:tc>
          <w:tcPr>
            <w:tcW w:w="1960" w:type="dxa"/>
            <w:vAlign w:val="bottom"/>
          </w:tcPr>
          <w:p>
            <w:pPr>
              <w:spacing w:after="0"/>
              <w:rPr>
                <w:sz w:val="17"/>
                <w:szCs w:val="17"/>
                <w:color w:val="auto"/>
              </w:rPr>
            </w:pPr>
          </w:p>
        </w:tc>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similarly sized companies. We believe that the use of perquisites is</w:t>
            </w: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w w:val="97"/>
              </w:rPr>
              <w:t>commonly are provided at other similarly sized</w:t>
            </w:r>
          </w:p>
        </w:tc>
      </w:tr>
      <w:tr>
        <w:trPr>
          <w:trHeight w:val="203"/>
        </w:trPr>
        <w:tc>
          <w:tcPr>
            <w:tcW w:w="1960" w:type="dxa"/>
            <w:vAlign w:val="bottom"/>
          </w:tcPr>
          <w:p>
            <w:pPr>
              <w:spacing w:after="0"/>
              <w:rPr>
                <w:sz w:val="17"/>
                <w:szCs w:val="17"/>
                <w:color w:val="auto"/>
              </w:rPr>
            </w:pPr>
          </w:p>
        </w:tc>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w w:val="98"/>
              </w:rPr>
              <w:t>important to retain our executives. The perquisites we provide include:</w:t>
            </w: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w w:val="99"/>
              </w:rPr>
              <w:t>companies and review the perquisites that we</w:t>
            </w:r>
          </w:p>
        </w:tc>
      </w:tr>
      <w:tr>
        <w:trPr>
          <w:trHeight w:val="203"/>
        </w:trPr>
        <w:tc>
          <w:tcPr>
            <w:tcW w:w="1960" w:type="dxa"/>
            <w:vAlign w:val="bottom"/>
          </w:tcPr>
          <w:p>
            <w:pPr>
              <w:spacing w:after="0"/>
              <w:rPr>
                <w:sz w:val="17"/>
                <w:szCs w:val="17"/>
                <w:color w:val="auto"/>
              </w:rPr>
            </w:pPr>
          </w:p>
        </w:tc>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 Company-leased automobile;</w:t>
            </w:r>
          </w:p>
        </w:tc>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provide to our executives on a periodic basis.</w:t>
            </w:r>
          </w:p>
        </w:tc>
      </w:tr>
      <w:tr>
        <w:trPr>
          <w:trHeight w:val="203"/>
        </w:trPr>
        <w:tc>
          <w:tcPr>
            <w:tcW w:w="1960" w:type="dxa"/>
            <w:vAlign w:val="bottom"/>
          </w:tcPr>
          <w:p>
            <w:pPr>
              <w:spacing w:after="0"/>
              <w:rPr>
                <w:sz w:val="17"/>
                <w:szCs w:val="17"/>
                <w:color w:val="auto"/>
              </w:rPr>
            </w:pPr>
          </w:p>
        </w:tc>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 Financial planning;</w:t>
            </w:r>
          </w:p>
        </w:tc>
        <w:tc>
          <w:tcPr>
            <w:tcW w:w="374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5720" w:type="dxa"/>
            <w:vAlign w:val="bottom"/>
          </w:tcPr>
          <w:p>
            <w:pPr>
              <w:ind w:left="180"/>
              <w:spacing w:after="0" w:line="202" w:lineRule="exact"/>
              <w:rPr>
                <w:sz w:val="20"/>
                <w:szCs w:val="20"/>
                <w:color w:val="auto"/>
              </w:rPr>
            </w:pPr>
            <w:r>
              <w:rPr>
                <w:rFonts w:ascii="Arial" w:cs="Arial" w:eastAsia="Arial" w:hAnsi="Arial"/>
                <w:sz w:val="18"/>
                <w:szCs w:val="18"/>
                <w:color w:val="auto"/>
              </w:rPr>
              <w:t>• Executive physical;</w:t>
            </w:r>
          </w:p>
        </w:tc>
        <w:tc>
          <w:tcPr>
            <w:tcW w:w="3740" w:type="dxa"/>
            <w:vAlign w:val="bottom"/>
          </w:tcPr>
          <w:p>
            <w:pPr>
              <w:spacing w:after="0"/>
              <w:rPr>
                <w:sz w:val="17"/>
                <w:szCs w:val="17"/>
                <w:color w:val="auto"/>
              </w:rPr>
            </w:pPr>
          </w:p>
        </w:tc>
      </w:tr>
    </w:tbl>
    <w:p>
      <w:pPr>
        <w:ind w:left="2140"/>
        <w:spacing w:after="0" w:line="234" w:lineRule="auto"/>
        <w:rPr>
          <w:sz w:val="20"/>
          <w:szCs w:val="20"/>
          <w:color w:val="auto"/>
        </w:rPr>
      </w:pPr>
      <w:r>
        <w:rPr>
          <w:rFonts w:ascii="Arial" w:cs="Arial" w:eastAsia="Arial" w:hAnsi="Arial"/>
          <w:sz w:val="18"/>
          <w:szCs w:val="18"/>
          <w:color w:val="auto"/>
        </w:rPr>
        <w:t>• Company products;</w:t>
      </w:r>
    </w:p>
    <w:p>
      <w:pPr>
        <w:ind w:left="2140"/>
        <w:spacing w:after="0" w:line="235" w:lineRule="auto"/>
        <w:rPr>
          <w:sz w:val="20"/>
          <w:szCs w:val="20"/>
          <w:color w:val="auto"/>
        </w:rPr>
      </w:pPr>
      <w:r>
        <w:rPr>
          <w:rFonts w:ascii="Arial" w:cs="Arial" w:eastAsia="Arial" w:hAnsi="Arial"/>
          <w:sz w:val="18"/>
          <w:szCs w:val="18"/>
          <w:color w:val="auto"/>
        </w:rPr>
        <w:t>• Additional coverage for accidental death and dismemberment; and</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 Additional vacation.</w:t>
      </w:r>
    </w:p>
    <w:p>
      <w:pPr>
        <w:spacing w:after="0" w:line="212" w:lineRule="exact"/>
        <w:rPr>
          <w:sz w:val="20"/>
          <w:szCs w:val="20"/>
          <w:color w:val="auto"/>
        </w:rPr>
      </w:pPr>
    </w:p>
    <w:p>
      <w:pPr>
        <w:ind w:right="80" w:firstLine="391"/>
        <w:spacing w:after="0" w:line="269" w:lineRule="auto"/>
        <w:rPr>
          <w:sz w:val="20"/>
          <w:szCs w:val="20"/>
          <w:color w:val="auto"/>
        </w:rPr>
      </w:pPr>
      <w:r>
        <w:rPr>
          <w:rFonts w:ascii="Arial" w:cs="Arial" w:eastAsia="Arial" w:hAnsi="Arial"/>
          <w:sz w:val="16"/>
          <w:szCs w:val="16"/>
          <w:color w:val="auto"/>
        </w:rPr>
        <w:t>We do not target a specific mix between fixed (non-performance-based) and variable (performance-based) compensation, short-term and long-term compensation, or cash and equity compensation in determining our executive compensation levels. At the beginning of each fiscal year, the Compensation &amp; Human Resources Committee, Towers Watson, our CEO, our Vice President, Human Resources &amp; Business Development and our Director, Total Rewards and HR Services evaluate each element of compensation and total compensation in comparison to the market. To the extent that the mix between fixed and variable compensation and individual elements of compensation change in the market, the mix may change for any individual named executive officer. In reviewing total compensation and determining compensation levels, we generally consider that compensation should vary based on actual performance and that variable compensation should include both short-term incentives in the form of cash, as well as long-term incentives in the form of stock and other equity-based incentives.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Each element of our executive compensation program is described in more detail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14" w:lineRule="exact"/>
        <w:rPr>
          <w:sz w:val="20"/>
          <w:szCs w:val="20"/>
          <w:color w:val="auto"/>
        </w:rPr>
      </w:pPr>
    </w:p>
    <w:p>
      <w:pPr>
        <w:ind w:right="500" w:firstLine="391"/>
        <w:spacing w:after="0" w:line="24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the opportunity for our named executive officers and other executives to earn a market competitive annual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salary. Base salaries are reviewed on an annual basis at the regular meeting of the Compensation &amp; Human Resources Committee held in November or December of each year. In fiscal 2009, salary increases, if any, for the CEO, vice presidents, including each of the other named executive officers, and all general managers were made effective as of December 1, 2008.</w:t>
      </w:r>
    </w:p>
    <w:p>
      <w:pPr>
        <w:spacing w:after="0" w:line="205" w:lineRule="exact"/>
        <w:rPr>
          <w:sz w:val="20"/>
          <w:szCs w:val="20"/>
          <w:color w:val="auto"/>
        </w:rPr>
      </w:pPr>
    </w:p>
    <w:p>
      <w:pPr>
        <w:ind w:right="20" w:firstLine="391"/>
        <w:spacing w:after="0" w:line="270" w:lineRule="auto"/>
        <w:rPr>
          <w:sz w:val="20"/>
          <w:szCs w:val="20"/>
          <w:color w:val="auto"/>
        </w:rPr>
      </w:pPr>
      <w:r>
        <w:rPr>
          <w:rFonts w:ascii="Arial" w:cs="Arial" w:eastAsia="Arial" w:hAnsi="Arial"/>
          <w:sz w:val="16"/>
          <w:szCs w:val="16"/>
          <w:color w:val="auto"/>
        </w:rPr>
        <w:t>Prior to the November or December meeting, Towers Watson provides an analysis that compares the current base salary for the CEO, vice presidents, including each of the other named executive officers, and general managers to the market for the position in which such executive serves. Our CEO, our Vice President, Human Resources &amp; Business Development and our Director, Total Rewards and HR Services review such analysis with the Chair of the Compensation &amp; Human Resources Committee or the Committee as a whole, as appropriate. In addition to reviewing base salaries relative to the market, the Compensation &amp; Human Resources Committee, Towers Watson, our CEO, our Vice President, Human Resources &amp; Business Development and our Director, Total Rewards and HR Services also evaluate each executive's individual performance, tenure in the position, corporate and division performance and relative positioning when determining base salary increases.</w:t>
      </w:r>
    </w:p>
    <w:p>
      <w:pPr>
        <w:spacing w:after="0" w:line="165" w:lineRule="exact"/>
        <w:rPr>
          <w:sz w:val="20"/>
          <w:szCs w:val="20"/>
          <w:color w:val="auto"/>
        </w:rPr>
      </w:pPr>
    </w:p>
    <w:p>
      <w:pPr>
        <w:ind w:right="100" w:firstLine="391"/>
        <w:spacing w:after="0" w:line="269" w:lineRule="auto"/>
        <w:rPr>
          <w:sz w:val="20"/>
          <w:szCs w:val="20"/>
          <w:color w:val="auto"/>
        </w:rPr>
      </w:pPr>
      <w:r>
        <w:rPr>
          <w:rFonts w:ascii="Arial" w:cs="Arial" w:eastAsia="Arial" w:hAnsi="Arial"/>
          <w:sz w:val="16"/>
          <w:szCs w:val="16"/>
          <w:b w:val="1"/>
          <w:bCs w:val="1"/>
          <w:i w:val="1"/>
          <w:iCs w:val="1"/>
          <w:color w:val="auto"/>
        </w:rPr>
        <w:t xml:space="preserve">Our Discussion and Analysis. </w:t>
      </w:r>
      <w:r>
        <w:rPr>
          <w:rFonts w:ascii="Arial" w:cs="Arial" w:eastAsia="Arial" w:hAnsi="Arial"/>
          <w:sz w:val="16"/>
          <w:szCs w:val="16"/>
          <w:color w:val="auto"/>
        </w:rPr>
        <w:t>In considering all of the previously mentioned factors and particularly the global recessionary economic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Messrs. Hoffman, Wolfe and Brown did not receive salary increases on December 1, 2008. The Compensation &amp; Human Resources Committee approved salary increases of 5% and 16% for Messrs. Ramstad and Dordell, respectively, on December 1, 2008 for fiscal 2009. The 5% increase for Mr. Ramstad was implemented to recognize his contributions as a vice president with responsibilities for both the human resources and business development functions and to reward individual performance. The 16% increase for Mr. Dordell was implemented to bring</w:t>
      </w:r>
    </w:p>
    <w:p>
      <w:pPr>
        <w:spacing w:after="0" w:line="1" w:lineRule="exact"/>
        <w:rPr>
          <w:sz w:val="20"/>
          <w:szCs w:val="20"/>
          <w:color w:val="auto"/>
        </w:rPr>
      </w:pPr>
    </w:p>
    <w:p>
      <w:pPr>
        <w:ind w:right="200"/>
        <w:spacing w:after="0" w:line="206" w:lineRule="auto"/>
        <w:rPr>
          <w:sz w:val="20"/>
          <w:szCs w:val="20"/>
          <w:color w:val="auto"/>
        </w:rPr>
      </w:pPr>
      <w:r>
        <w:rPr>
          <w:rFonts w:ascii="Arial" w:cs="Arial" w:eastAsia="Arial" w:hAnsi="Arial"/>
          <w:sz w:val="17"/>
          <w:szCs w:val="17"/>
          <w:color w:val="auto"/>
        </w:rPr>
        <w:t>his salary closer to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and to reward individual performance. The fiscal 2009 base salaries, which include the base salary increases for Messrs. Ramstad and Dordell, and the recession-related 10% base salary reduction for each of the named executive officers, are provided below along with the corresponding positioning against the market. The 10% reduction caused most of the named executive officers' fiscal 2009 base salaries to fall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Mr. Ramstad's fiscal 2009 base salary falls slightly above the market</w:t>
      </w:r>
    </w:p>
    <w:p>
      <w:pPr>
        <w:spacing w:after="0" w:line="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50th percentile for a Vice President, Human Resources position because his base salary appropriately reflects his levels of responsibilities for both the human resources and business development functions. The fiscal 2009 base salaries also are provided in the "Summary Compensation Table" on page 50.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Fiscal 2009</w:t>
            </w:r>
          </w:p>
        </w:tc>
        <w:tc>
          <w:tcPr>
            <w:tcW w:w="50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96"/>
        </w:trPr>
        <w:tc>
          <w:tcPr>
            <w:tcW w:w="3000" w:type="dxa"/>
            <w:vAlign w:val="bottom"/>
            <w:gridSpan w:val="2"/>
          </w:tcPr>
          <w:p>
            <w:pPr>
              <w:ind w:left="172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7"/>
                <w:szCs w:val="17"/>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b w:val="1"/>
                <w:bCs w:val="1"/>
                <w:color w:val="auto"/>
              </w:rPr>
              <w:t>Base Salary</w:t>
            </w:r>
          </w:p>
        </w:tc>
        <w:tc>
          <w:tcPr>
            <w:tcW w:w="6760" w:type="dxa"/>
            <w:vAlign w:val="bottom"/>
            <w:gridSpan w:val="2"/>
          </w:tcPr>
          <w:p>
            <w:pPr>
              <w:ind w:left="1780"/>
              <w:spacing w:after="0"/>
              <w:rPr>
                <w:sz w:val="20"/>
                <w:szCs w:val="20"/>
                <w:color w:val="auto"/>
              </w:rPr>
            </w:pPr>
            <w:r>
              <w:rPr>
                <w:rFonts w:ascii="Arial" w:cs="Arial" w:eastAsia="Arial" w:hAnsi="Arial"/>
                <w:sz w:val="14"/>
                <w:szCs w:val="14"/>
                <w:b w:val="1"/>
                <w:bCs w:val="1"/>
                <w:color w:val="auto"/>
              </w:rPr>
              <w:t>Position Against Market</w:t>
            </w:r>
          </w:p>
        </w:tc>
      </w:tr>
      <w:tr>
        <w:trPr>
          <w:trHeight w:val="189"/>
        </w:trPr>
        <w:tc>
          <w:tcPr>
            <w:tcW w:w="1720" w:type="dxa"/>
            <w:vAlign w:val="bottom"/>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Mr. Hoffman</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766,665</w:t>
            </w:r>
          </w:p>
        </w:tc>
        <w:tc>
          <w:tcPr>
            <w:tcW w:w="5040" w:type="dxa"/>
            <w:vAlign w:val="bottom"/>
            <w:tcBorders>
              <w:top w:val="single" w:sz="8" w:color="auto"/>
            </w:tcBorders>
            <w:shd w:val="clear" w:color="auto" w:fill="CCEEFF"/>
          </w:tcPr>
          <w:p>
            <w:pPr>
              <w:jc w:val="right"/>
              <w:ind w:right="2306"/>
              <w:spacing w:after="0" w:line="189" w:lineRule="exact"/>
              <w:rPr>
                <w:sz w:val="20"/>
                <w:szCs w:val="20"/>
                <w:color w:val="auto"/>
              </w:rPr>
            </w:pPr>
            <w:r>
              <w:rPr>
                <w:rFonts w:ascii="Arial" w:cs="Arial" w:eastAsia="Arial" w:hAnsi="Arial"/>
                <w:sz w:val="14"/>
                <w:szCs w:val="14"/>
                <w:color w:val="auto"/>
              </w:rPr>
              <w:t>9.8% below the market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720" w:type="dxa"/>
            <w:vAlign w:val="bottom"/>
          </w:tcPr>
          <w:p>
            <w:pPr>
              <w:spacing w:after="0"/>
              <w:rPr>
                <w:sz w:val="16"/>
                <w:szCs w:val="16"/>
                <w:color w:val="auto"/>
              </w:rPr>
            </w:pPr>
          </w:p>
        </w:tc>
      </w:tr>
      <w:tr>
        <w:trPr>
          <w:trHeight w:val="189"/>
        </w:trPr>
        <w:tc>
          <w:tcPr>
            <w:tcW w:w="3000" w:type="dxa"/>
            <w:vAlign w:val="bottom"/>
            <w:gridSpan w:val="2"/>
          </w:tcPr>
          <w:p>
            <w:pPr>
              <w:ind w:left="1720"/>
              <w:spacing w:after="0"/>
              <w:rPr>
                <w:sz w:val="20"/>
                <w:szCs w:val="20"/>
                <w:color w:val="auto"/>
              </w:rPr>
            </w:pPr>
            <w:r>
              <w:rPr>
                <w:rFonts w:ascii="Arial" w:cs="Arial" w:eastAsia="Arial" w:hAnsi="Arial"/>
                <w:sz w:val="14"/>
                <w:szCs w:val="14"/>
                <w:color w:val="auto"/>
              </w:rPr>
              <w:t>Mr. Wolfe</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375,755</w:t>
            </w:r>
          </w:p>
        </w:tc>
        <w:tc>
          <w:tcPr>
            <w:tcW w:w="5040" w:type="dxa"/>
            <w:vAlign w:val="bottom"/>
          </w:tcPr>
          <w:p>
            <w:pPr>
              <w:jc w:val="right"/>
              <w:ind w:right="2306"/>
              <w:spacing w:after="0" w:line="189" w:lineRule="exact"/>
              <w:rPr>
                <w:sz w:val="20"/>
                <w:szCs w:val="20"/>
                <w:color w:val="auto"/>
              </w:rPr>
            </w:pPr>
            <w:r>
              <w:rPr>
                <w:rFonts w:ascii="Arial" w:cs="Arial" w:eastAsia="Arial" w:hAnsi="Arial"/>
                <w:sz w:val="14"/>
                <w:szCs w:val="14"/>
                <w:color w:val="auto"/>
              </w:rPr>
              <w:t>11.6% below the market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72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Mr. Ramstad</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304,553</w:t>
            </w:r>
          </w:p>
        </w:tc>
        <w:tc>
          <w:tcPr>
            <w:tcW w:w="5040" w:type="dxa"/>
            <w:vAlign w:val="bottom"/>
            <w:shd w:val="clear" w:color="auto" w:fill="CCEEFF"/>
          </w:tcPr>
          <w:p>
            <w:pPr>
              <w:jc w:val="right"/>
              <w:ind w:right="2286"/>
              <w:spacing w:after="0" w:line="189" w:lineRule="exact"/>
              <w:rPr>
                <w:sz w:val="20"/>
                <w:szCs w:val="20"/>
                <w:color w:val="auto"/>
              </w:rPr>
            </w:pPr>
            <w:r>
              <w:rPr>
                <w:rFonts w:ascii="Arial" w:cs="Arial" w:eastAsia="Arial" w:hAnsi="Arial"/>
                <w:sz w:val="14"/>
                <w:szCs w:val="14"/>
                <w:color w:val="auto"/>
              </w:rPr>
              <w:t>5.0% above the market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720" w:type="dxa"/>
            <w:vAlign w:val="bottom"/>
          </w:tcPr>
          <w:p>
            <w:pPr>
              <w:spacing w:after="0"/>
              <w:rPr>
                <w:sz w:val="16"/>
                <w:szCs w:val="16"/>
                <w:color w:val="auto"/>
              </w:rPr>
            </w:pPr>
          </w:p>
        </w:tc>
      </w:tr>
      <w:tr>
        <w:trPr>
          <w:trHeight w:val="189"/>
        </w:trPr>
        <w:tc>
          <w:tcPr>
            <w:tcW w:w="3000" w:type="dxa"/>
            <w:vAlign w:val="bottom"/>
            <w:gridSpan w:val="2"/>
          </w:tcPr>
          <w:p>
            <w:pPr>
              <w:ind w:left="1720"/>
              <w:spacing w:after="0"/>
              <w:rPr>
                <w:sz w:val="20"/>
                <w:szCs w:val="20"/>
                <w:color w:val="auto"/>
              </w:rPr>
            </w:pPr>
            <w:r>
              <w:rPr>
                <w:rFonts w:ascii="Arial" w:cs="Arial" w:eastAsia="Arial" w:hAnsi="Arial"/>
                <w:sz w:val="14"/>
                <w:szCs w:val="14"/>
                <w:color w:val="auto"/>
              </w:rPr>
              <w:t>Mr. Dordell</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288,157</w:t>
            </w:r>
          </w:p>
        </w:tc>
        <w:tc>
          <w:tcPr>
            <w:tcW w:w="5040" w:type="dxa"/>
            <w:vAlign w:val="bottom"/>
          </w:tcPr>
          <w:p>
            <w:pPr>
              <w:jc w:val="right"/>
              <w:ind w:right="2306"/>
              <w:spacing w:after="0" w:line="189" w:lineRule="exact"/>
              <w:rPr>
                <w:sz w:val="20"/>
                <w:szCs w:val="20"/>
                <w:color w:val="auto"/>
              </w:rPr>
            </w:pPr>
            <w:r>
              <w:rPr>
                <w:rFonts w:ascii="Arial" w:cs="Arial" w:eastAsia="Arial" w:hAnsi="Arial"/>
                <w:sz w:val="14"/>
                <w:szCs w:val="14"/>
                <w:color w:val="auto"/>
              </w:rPr>
              <w:t>18.8% below the market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720" w:type="dxa"/>
            <w:vAlign w:val="bottom"/>
          </w:tcPr>
          <w:p>
            <w:pPr>
              <w:spacing w:after="0"/>
              <w:rPr>
                <w:sz w:val="16"/>
                <w:szCs w:val="16"/>
                <w:color w:val="auto"/>
              </w:rPr>
            </w:pPr>
          </w:p>
        </w:tc>
      </w:tr>
      <w:tr>
        <w:trPr>
          <w:trHeight w:val="189"/>
        </w:trPr>
        <w:tc>
          <w:tcPr>
            <w:tcW w:w="17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Mr. Brown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252,753</w:t>
            </w:r>
          </w:p>
        </w:tc>
        <w:tc>
          <w:tcPr>
            <w:tcW w:w="5040" w:type="dxa"/>
            <w:vAlign w:val="bottom"/>
            <w:shd w:val="clear" w:color="auto" w:fill="CCEEFF"/>
          </w:tcPr>
          <w:p>
            <w:pPr>
              <w:jc w:val="right"/>
              <w:ind w:right="2306"/>
              <w:spacing w:after="0" w:line="189" w:lineRule="exact"/>
              <w:rPr>
                <w:sz w:val="20"/>
                <w:szCs w:val="20"/>
                <w:color w:val="auto"/>
              </w:rPr>
            </w:pPr>
            <w:r>
              <w:rPr>
                <w:rFonts w:ascii="Arial" w:cs="Arial" w:eastAsia="Arial" w:hAnsi="Arial"/>
                <w:sz w:val="14"/>
                <w:szCs w:val="14"/>
                <w:color w:val="auto"/>
              </w:rPr>
              <w:t>2.9% below the market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720" w:type="dxa"/>
            <w:vAlign w:val="bottom"/>
          </w:tcPr>
          <w:p>
            <w:pPr>
              <w:spacing w:after="0"/>
              <w:rPr>
                <w:sz w:val="16"/>
                <w:szCs w:val="16"/>
                <w:color w:val="auto"/>
              </w:rPr>
            </w:pPr>
          </w:p>
        </w:tc>
      </w:tr>
      <w:tr>
        <w:trPr>
          <w:trHeight w:val="430"/>
        </w:trPr>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jc w:val="right"/>
              <w:ind w:right="3806"/>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50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firstLine="391"/>
        <w:spacing w:after="0" w:line="244" w:lineRule="auto"/>
        <w:rPr>
          <w:sz w:val="20"/>
          <w:szCs w:val="20"/>
          <w:color w:val="auto"/>
        </w:rPr>
      </w:pPr>
      <w:r>
        <w:rPr>
          <w:rFonts w:ascii="Arial" w:cs="Arial" w:eastAsia="Arial" w:hAnsi="Arial"/>
          <w:sz w:val="18"/>
          <w:szCs w:val="18"/>
          <w:b w:val="1"/>
          <w:bCs w:val="1"/>
          <w:i w:val="1"/>
          <w:iCs w:val="1"/>
          <w:color w:val="auto"/>
        </w:rPr>
        <w:t xml:space="preserve">Changes for Fiscal 2010. </w:t>
      </w:r>
      <w:r>
        <w:rPr>
          <w:rFonts w:ascii="Arial" w:cs="Arial" w:eastAsia="Arial" w:hAnsi="Arial"/>
          <w:sz w:val="18"/>
          <w:szCs w:val="18"/>
          <w:color w:val="auto"/>
        </w:rPr>
        <w:t>In December 2009, the Compensation &amp; Human Resources Committee evaluated the market, global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our financial performance and levels of individual responsibilities and performance for each of the named executive officers and, at a minimum, restored individual base salaries to their levels prior to the 10% reduction. Messrs. Hoffman, Wolfe and Brown did not receive any increases to their base salaries, other than the restoration of the 10% reduction. Since base salaries were frozen in December 2008, the restoration of salaries brings salaries for these named executive officers back to fiscal 2007 levels. A 2.1% increase to the December 2008 base salary for Mr. Ramstad was implemented to reflect his contributions and performance, as well as his responsibility for both the human resources and business development functions. A 7% increase to the December 2008 base salary for Mr. Dordell was implemented to reflect his contributions and performance and to position his salary closer to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Cash Incentives</w:t>
      </w:r>
    </w:p>
    <w:p>
      <w:pPr>
        <w:spacing w:after="0" w:line="214" w:lineRule="exact"/>
        <w:rPr>
          <w:sz w:val="20"/>
          <w:szCs w:val="20"/>
          <w:color w:val="auto"/>
        </w:rPr>
      </w:pPr>
    </w:p>
    <w:p>
      <w:pPr>
        <w:ind w:right="120" w:firstLine="391"/>
        <w:spacing w:after="0" w:line="241"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the opportunity for executives to earn an annual incentive. The incentive payout is based solely on financial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under our AMIP and is paid entirely in cash. At the beginning of each fiscal year, during its regular meeting held in November or December, the Compensation &amp; Human Resources Committee approves a target award for each participant and financial business goals, or performance measures and weightings, at both the corporate and division level. The committee also approves the maximum level of AMIP payout (which cannot exceed 200% of the target award as a percentage of base salary).</w:t>
      </w:r>
    </w:p>
    <w:p>
      <w:pPr>
        <w:spacing w:after="0" w:line="190" w:lineRule="exact"/>
        <w:rPr>
          <w:sz w:val="20"/>
          <w:szCs w:val="20"/>
          <w:color w:val="auto"/>
        </w:rPr>
      </w:pPr>
    </w:p>
    <w:p>
      <w:pPr>
        <w:ind w:right="40" w:firstLine="391"/>
        <w:spacing w:after="0" w:line="211" w:lineRule="auto"/>
        <w:rPr>
          <w:sz w:val="20"/>
          <w:szCs w:val="20"/>
          <w:color w:val="auto"/>
        </w:rPr>
      </w:pPr>
      <w:r>
        <w:rPr>
          <w:rFonts w:ascii="Arial" w:cs="Arial" w:eastAsia="Arial" w:hAnsi="Arial"/>
          <w:sz w:val="17"/>
          <w:szCs w:val="17"/>
          <w:b w:val="1"/>
          <w:bCs w:val="1"/>
          <w:i w:val="1"/>
          <w:iCs w:val="1"/>
          <w:color w:val="auto"/>
        </w:rPr>
        <w:t xml:space="preserve">Target Awards. </w:t>
      </w:r>
      <w:r>
        <w:rPr>
          <w:rFonts w:ascii="Arial" w:cs="Arial" w:eastAsia="Arial" w:hAnsi="Arial"/>
          <w:sz w:val="17"/>
          <w:szCs w:val="17"/>
          <w:color w:val="auto"/>
        </w:rPr>
        <w:t>Under the AMIP, target awards are established and expressed as a percentage of base salary. When determining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award for each named executive officer, the committee reviews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total cash compensation (sum of base salary and annual incentives) for the position in which such named executive officer serves. Our objective is that when our annual incentives pay out at target, total cash compensation is at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Target awards for our CEO and the other named executive officers generally differ based</w:t>
      </w:r>
    </w:p>
    <w:p>
      <w:pPr>
        <w:spacing w:after="0" w:line="1"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on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total cash compensation levels for their respective positions. Target awards also may differ based on the committee's consideration of experience and tenure within Toro or the position and individual performance. For fiscal 2009, the target awards, expressed as a percent of base salary, remained the same as for fiscal 2008 for the each of our named executive officers. The target and maximum awards are provided below:</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560" w:type="dxa"/>
            <w:vAlign w:val="bottom"/>
          </w:tcPr>
          <w:p>
            <w:pPr>
              <w:jc w:val="right"/>
              <w:ind w:right="308"/>
              <w:spacing w:after="0"/>
              <w:rPr>
                <w:sz w:val="20"/>
                <w:szCs w:val="20"/>
                <w:color w:val="auto"/>
              </w:rPr>
            </w:pPr>
            <w:r>
              <w:rPr>
                <w:rFonts w:ascii="Arial" w:cs="Arial" w:eastAsia="Arial" w:hAnsi="Arial"/>
                <w:sz w:val="14"/>
                <w:szCs w:val="14"/>
                <w:b w:val="1"/>
                <w:bCs w:val="1"/>
                <w:color w:val="auto"/>
              </w:rPr>
              <w:t>Target Award</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Maximum Award</w:t>
            </w:r>
          </w:p>
        </w:tc>
      </w:tr>
      <w:tr>
        <w:trPr>
          <w:trHeight w:val="196"/>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of base salary)</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of base salary)</w:t>
            </w:r>
          </w:p>
        </w:tc>
        <w:tc>
          <w:tcPr>
            <w:tcW w:w="160" w:type="dxa"/>
            <w:vAlign w:val="bottom"/>
          </w:tcPr>
          <w:p>
            <w:pPr>
              <w:spacing w:after="0"/>
              <w:rPr>
                <w:sz w:val="17"/>
                <w:szCs w:val="17"/>
                <w:color w:val="auto"/>
              </w:rPr>
            </w:pP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Mr. Hoffman</w:t>
            </w:r>
          </w:p>
        </w:tc>
        <w:tc>
          <w:tcPr>
            <w:tcW w:w="3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170%</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Mr. Wolfe</w:t>
            </w:r>
          </w:p>
        </w:tc>
        <w:tc>
          <w:tcPr>
            <w:tcW w:w="3560" w:type="dxa"/>
            <w:vAlign w:val="bottom"/>
          </w:tcPr>
          <w:p>
            <w:pPr>
              <w:jc w:val="right"/>
              <w:spacing w:after="0"/>
              <w:rPr>
                <w:sz w:val="20"/>
                <w:szCs w:val="20"/>
                <w:color w:val="auto"/>
              </w:rPr>
            </w:pPr>
            <w:r>
              <w:rPr>
                <w:rFonts w:ascii="Arial" w:cs="Arial" w:eastAsia="Arial" w:hAnsi="Arial"/>
                <w:sz w:val="14"/>
                <w:szCs w:val="14"/>
                <w:color w:val="auto"/>
              </w:rPr>
              <w:t>65%</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130%</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Mr. Ramstad</w:t>
            </w:r>
          </w:p>
        </w:tc>
        <w:tc>
          <w:tcPr>
            <w:tcW w:w="3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Mr. Dordell</w:t>
            </w:r>
          </w:p>
        </w:tc>
        <w:tc>
          <w:tcPr>
            <w:tcW w:w="3560" w:type="dxa"/>
            <w:vAlign w:val="bottom"/>
          </w:tcPr>
          <w:p>
            <w:pPr>
              <w:jc w:val="right"/>
              <w:spacing w:after="0"/>
              <w:rPr>
                <w:sz w:val="20"/>
                <w:szCs w:val="20"/>
                <w:color w:val="auto"/>
              </w:rPr>
            </w:pPr>
            <w:r>
              <w:rPr>
                <w:rFonts w:ascii="Arial" w:cs="Arial" w:eastAsia="Arial" w:hAnsi="Arial"/>
                <w:sz w:val="14"/>
                <w:szCs w:val="14"/>
                <w:color w:val="auto"/>
              </w:rPr>
              <w:t>50%</w:t>
            </w: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Mr. Brown</w:t>
            </w:r>
          </w:p>
        </w:tc>
        <w:tc>
          <w:tcPr>
            <w:tcW w:w="3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r>
    </w:tbl>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firstLine="391"/>
        <w:spacing w:after="0"/>
        <w:rPr>
          <w:sz w:val="20"/>
          <w:szCs w:val="20"/>
          <w:color w:val="auto"/>
        </w:rPr>
      </w:pPr>
      <w:r>
        <w:rPr>
          <w:rFonts w:ascii="Arial" w:cs="Arial" w:eastAsia="Arial" w:hAnsi="Arial"/>
          <w:sz w:val="18"/>
          <w:szCs w:val="18"/>
          <w:b w:val="1"/>
          <w:bCs w:val="1"/>
          <w:i w:val="1"/>
          <w:iCs w:val="1"/>
          <w:color w:val="auto"/>
        </w:rPr>
        <w:t xml:space="preserve">Fiscal 2009 Performance Measures. </w:t>
      </w:r>
      <w:r>
        <w:rPr>
          <w:rFonts w:ascii="Arial" w:cs="Arial" w:eastAsia="Arial" w:hAnsi="Arial"/>
          <w:sz w:val="18"/>
          <w:szCs w:val="18"/>
          <w:color w:val="auto"/>
        </w:rPr>
        <w:t>Each year, the Compensation &amp; Human Resources Committee, Towers Watson, our CEO, our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Human Resources and Business Development and our Director, Total Rewards and HR Services discuss performance measures and weightings for the AMIP. We believe that it is important to set performance goals for growth, profitability and asset performance in order to drive shareholder value and to focus our executives on improving both company and division performance. For fiscal 2009, division working capital as a percent of sales replaced division current assets turns as a divisional performance measure. The specific measures, weightings and goals for fiscal 2009, as approved by the Compensation &amp; Human Resources Committee are provided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Corporate Participants</w:t>
      </w:r>
    </w:p>
    <w:p>
      <w:pPr>
        <w:spacing w:after="0" w:line="23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 corporate revenue growth</w:t>
      </w:r>
    </w:p>
    <w:p>
      <w:pPr>
        <w:spacing w:after="0" w:line="19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 fully diluted EPS</w:t>
      </w:r>
    </w:p>
    <w:p>
      <w:pPr>
        <w:spacing w:after="0" w:line="21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 corporate average net assets turns</w:t>
      </w:r>
    </w:p>
    <w:p>
      <w:pPr>
        <w:spacing w:after="0" w:line="192" w:lineRule="exact"/>
        <w:rPr>
          <w:sz w:val="20"/>
          <w:szCs w:val="20"/>
          <w:color w:val="auto"/>
        </w:rPr>
      </w:pPr>
    </w:p>
    <w:tbl>
      <w:tblPr>
        <w:tblLayout w:type="fixed"/>
        <w:tblInd w:w="540" w:type="dxa"/>
        <w:tblCellMar>
          <w:top w:w="0" w:type="dxa"/>
          <w:left w:w="0" w:type="dxa"/>
          <w:bottom w:w="0" w:type="dxa"/>
          <w:right w:w="0" w:type="dxa"/>
        </w:tblCellMar>
      </w:tblPr>
      <w:tr>
        <w:trPr>
          <w:trHeight w:val="231"/>
        </w:trPr>
        <w:tc>
          <w:tcPr>
            <w:tcW w:w="4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Division Participants</w:t>
            </w:r>
          </w:p>
        </w:tc>
        <w:tc>
          <w:tcPr>
            <w:tcW w:w="5620" w:type="dxa"/>
            <w:vAlign w:val="bottom"/>
          </w:tcPr>
          <w:p>
            <w:pPr>
              <w:spacing w:after="0"/>
              <w:rPr>
                <w:sz w:val="20"/>
                <w:szCs w:val="20"/>
                <w:color w:val="auto"/>
              </w:rPr>
            </w:pPr>
          </w:p>
        </w:tc>
      </w:tr>
      <w:tr>
        <w:trPr>
          <w:trHeight w:val="428"/>
        </w:trPr>
        <w:tc>
          <w:tcPr>
            <w:tcW w:w="4120" w:type="dxa"/>
            <w:vAlign w:val="bottom"/>
            <w:gridSpan w:val="2"/>
          </w:tcPr>
          <w:p>
            <w:pPr>
              <w:ind w:left="600"/>
              <w:spacing w:after="0"/>
              <w:rPr>
                <w:sz w:val="20"/>
                <w:szCs w:val="20"/>
                <w:color w:val="auto"/>
              </w:rPr>
            </w:pPr>
            <w:r>
              <w:rPr>
                <w:rFonts w:ascii="Arial" w:cs="Arial" w:eastAsia="Arial" w:hAnsi="Arial"/>
                <w:sz w:val="18"/>
                <w:szCs w:val="18"/>
                <w:b w:val="1"/>
                <w:bCs w:val="1"/>
                <w:color w:val="auto"/>
              </w:rPr>
              <w:t>Corporate Measures (50%)</w:t>
            </w:r>
          </w:p>
        </w:tc>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Divisional Measures (50%)</w:t>
            </w:r>
          </w:p>
        </w:tc>
      </w:tr>
      <w:tr>
        <w:trPr>
          <w:trHeight w:val="203"/>
        </w:trPr>
        <w:tc>
          <w:tcPr>
            <w:tcW w:w="620" w:type="dxa"/>
            <w:vAlign w:val="bottom"/>
          </w:tcPr>
          <w:p>
            <w:pPr>
              <w:spacing w:after="0"/>
              <w:rPr>
                <w:sz w:val="17"/>
                <w:szCs w:val="17"/>
                <w:color w:val="auto"/>
              </w:rPr>
            </w:pPr>
          </w:p>
        </w:tc>
        <w:tc>
          <w:tcPr>
            <w:tcW w:w="35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40% corporate revenue growth</w:t>
            </w:r>
          </w:p>
        </w:tc>
        <w:tc>
          <w:tcPr>
            <w:tcW w:w="5620" w:type="dxa"/>
            <w:vAlign w:val="bottom"/>
            <w:tcBorders>
              <w:top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50% division CPC</w:t>
            </w:r>
          </w:p>
        </w:tc>
      </w:tr>
      <w:tr>
        <w:trPr>
          <w:trHeight w:val="203"/>
        </w:trPr>
        <w:tc>
          <w:tcPr>
            <w:tcW w:w="41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30% fully diluted EPS</w:t>
            </w:r>
          </w:p>
        </w:tc>
        <w:tc>
          <w:tcPr>
            <w:tcW w:w="5620" w:type="dxa"/>
            <w:vAlign w:val="bottom"/>
          </w:tcPr>
          <w:p>
            <w:pPr>
              <w:ind w:left="380"/>
              <w:spacing w:after="0" w:line="202" w:lineRule="exact"/>
              <w:rPr>
                <w:sz w:val="20"/>
                <w:szCs w:val="20"/>
                <w:color w:val="auto"/>
              </w:rPr>
            </w:pPr>
            <w:r>
              <w:rPr>
                <w:rFonts w:ascii="Arial" w:cs="Arial" w:eastAsia="Arial" w:hAnsi="Arial"/>
                <w:sz w:val="18"/>
                <w:szCs w:val="18"/>
                <w:color w:val="auto"/>
              </w:rPr>
              <w:t>50% division working capital as a percent of sales</w:t>
            </w:r>
          </w:p>
        </w:tc>
      </w:tr>
      <w:tr>
        <w:trPr>
          <w:trHeight w:val="203"/>
        </w:trPr>
        <w:tc>
          <w:tcPr>
            <w:tcW w:w="6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30% corporate average net assets turns</w:t>
            </w:r>
          </w:p>
        </w:tc>
        <w:tc>
          <w:tcPr>
            <w:tcW w:w="562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right="60" w:firstLine="391"/>
        <w:spacing w:after="0" w:line="269" w:lineRule="auto"/>
        <w:rPr>
          <w:sz w:val="20"/>
          <w:szCs w:val="20"/>
          <w:color w:val="auto"/>
        </w:rPr>
      </w:pPr>
      <w:r>
        <w:rPr>
          <w:rFonts w:ascii="Arial" w:cs="Arial" w:eastAsia="Arial" w:hAnsi="Arial"/>
          <w:sz w:val="16"/>
          <w:szCs w:val="16"/>
          <w:color w:val="auto"/>
        </w:rPr>
        <w:t>In establishing financial business goals for the fiscal year to be approved by the Compensation &amp; Human Resources Committee, factors such as our prior fiscal year financial business results, our competitive situation, our evaluation of market data, as well as the general state of the economy and our business all are considered. For fiscal 2009, target, threshold and maximum performance goals were established for all measures. Target levels of performance are set based on our financial plan for the fiscal year. For both the corporate and division performance measures, threshold levels of performance generate payouts at 40% of plan and maximum levels of performance generate payouts of 200% of plan. For fiscal 2009, the Committee approved a payout of 20%, rather than 40%, for the EPS threshold level of performance. The EPS threshold, which is set at 80% of plan, must be met for there to be a payout for corporate participants and a corporate portion of a payout for division participants. For division participants to receive a division payout, CPC must be at 80% of plan, or the threshold level of performance.</w:t>
      </w:r>
    </w:p>
    <w:p>
      <w:pPr>
        <w:spacing w:after="0" w:line="187" w:lineRule="exact"/>
        <w:rPr>
          <w:sz w:val="20"/>
          <w:szCs w:val="20"/>
          <w:color w:val="auto"/>
        </w:rPr>
      </w:pPr>
    </w:p>
    <w:p>
      <w:pPr>
        <w:jc w:val="both"/>
        <w:ind w:right="340" w:firstLine="391"/>
        <w:spacing w:after="0" w:line="264" w:lineRule="auto"/>
        <w:rPr>
          <w:sz w:val="20"/>
          <w:szCs w:val="20"/>
          <w:color w:val="auto"/>
        </w:rPr>
      </w:pPr>
      <w:r>
        <w:rPr>
          <w:rFonts w:ascii="Arial" w:cs="Arial" w:eastAsia="Arial" w:hAnsi="Arial"/>
          <w:sz w:val="16"/>
          <w:szCs w:val="16"/>
          <w:color w:val="auto"/>
        </w:rPr>
        <w:t>Our CEO, our Vice President, Human Resources &amp; Business Development and our Director, Total Rewards and HR Services recommend corporate and division financial measures, financial business goals and weightings to the Compensation &amp; Human Resources Committee at its regular meeting held in November or December. Additionally, target and maximum dollar awards are reviewed and approved at that meeting.</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During its regular meeting held in July, the Compensation &amp; Human Resources Committee reviews progress against the corporate and division financial business goals. Following the end of the fiscal year, at the Compensation &amp; Human Resources Committee meeting held in November or December, our CEO, our Vice President, Human Resources &amp;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Development and our Director, Total Rewards and HR Services present actual results against the corporate and division financial business goals and the corresponding payout percent (expressed as a percent of target performance). The Compensation &amp; Human Resources Committee has the discretion to approve adjustments to previously approved performance levels or performance measures to account for irregular or non-recurring items and events. There were no irregular or non-recurring items or events during fiscal 2009. The Compensation &amp; Human Resources Committee then verifies that the financial business goals were achieved at the levels presented at the meeting. Payouts are made in the middle of December and are contingent on our final earnings release for the fiscal year. Our CEO, our Vice President, Human Resources &amp; Business Development and our Director, Total Rewards and HR Services also present a summary of actual dollar payouts for our CEO, vice presidents, including each of the named executive officers, and general managers, which is reviewed and approved by the committee. The committee also has the discretion to adjust the payout percent up or down by up to 20% based on certain events. Examples of factors or events that could cause the committee to adjust the payout percent include the buyback of shares of our common stock in unplanned amounts or significant acquisition or disposition transactions. The committee did not make any such adjustments to the fiscal 2009 annual cash incentive payouts.</w:t>
      </w:r>
    </w:p>
    <w:p>
      <w:pPr>
        <w:spacing w:after="0" w:line="370" w:lineRule="exact"/>
        <w:rPr>
          <w:sz w:val="20"/>
          <w:szCs w:val="20"/>
          <w:color w:val="auto"/>
        </w:rPr>
      </w:pPr>
    </w:p>
    <w:p>
      <w:pPr>
        <w:ind w:right="80" w:firstLine="391"/>
        <w:spacing w:after="0" w:line="262" w:lineRule="auto"/>
        <w:rPr>
          <w:sz w:val="20"/>
          <w:szCs w:val="20"/>
          <w:color w:val="auto"/>
        </w:rPr>
      </w:pPr>
      <w:r>
        <w:rPr>
          <w:rFonts w:ascii="Arial" w:cs="Arial" w:eastAsia="Arial" w:hAnsi="Arial"/>
          <w:sz w:val="18"/>
          <w:szCs w:val="18"/>
          <w:b w:val="1"/>
          <w:bCs w:val="1"/>
          <w:i w:val="1"/>
          <w:iCs w:val="1"/>
          <w:color w:val="auto"/>
        </w:rPr>
        <w:t xml:space="preserve">Our Discussion and Analysis. </w:t>
      </w:r>
      <w:r>
        <w:rPr>
          <w:rFonts w:ascii="Arial" w:cs="Arial" w:eastAsia="Arial" w:hAnsi="Arial"/>
          <w:sz w:val="18"/>
          <w:szCs w:val="18"/>
          <w:color w:val="auto"/>
        </w:rPr>
        <w:t>Below is a table summarizing the fiscal 2009 corporate performance measures, including threshold,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maximum and actual levels of performance.</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42"/>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Fiscal 2009 Performance Measure</w:t>
            </w:r>
          </w:p>
        </w:tc>
        <w:tc>
          <w:tcPr>
            <w:tcW w:w="1960" w:type="dxa"/>
            <w:vAlign w:val="bottom"/>
          </w:tcPr>
          <w:p>
            <w:pPr>
              <w:ind w:left="860"/>
              <w:spacing w:after="0"/>
              <w:rPr>
                <w:sz w:val="20"/>
                <w:szCs w:val="20"/>
                <w:color w:val="auto"/>
              </w:rPr>
            </w:pPr>
            <w:r>
              <w:rPr>
                <w:rFonts w:ascii="Arial" w:cs="Arial" w:eastAsia="Arial" w:hAnsi="Arial"/>
                <w:sz w:val="18"/>
                <w:szCs w:val="18"/>
                <w:b w:val="1"/>
                <w:bCs w:val="1"/>
                <w:color w:val="auto"/>
              </w:rPr>
              <w:t>Threshold</w:t>
            </w:r>
          </w:p>
        </w:tc>
        <w:tc>
          <w:tcPr>
            <w:tcW w:w="1260" w:type="dxa"/>
            <w:vAlign w:val="bottom"/>
          </w:tcPr>
          <w:p>
            <w:pPr>
              <w:ind w:left="360"/>
              <w:spacing w:after="0"/>
              <w:rPr>
                <w:sz w:val="20"/>
                <w:szCs w:val="20"/>
                <w:color w:val="auto"/>
              </w:rPr>
            </w:pPr>
            <w:r>
              <w:rPr>
                <w:rFonts w:ascii="Arial" w:cs="Arial" w:eastAsia="Arial" w:hAnsi="Arial"/>
                <w:sz w:val="18"/>
                <w:szCs w:val="18"/>
                <w:b w:val="1"/>
                <w:bCs w:val="1"/>
                <w:color w:val="auto"/>
              </w:rPr>
              <w:t>Target</w:t>
            </w:r>
          </w:p>
        </w:tc>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Maximum</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Actual</w:t>
            </w:r>
          </w:p>
        </w:tc>
      </w:tr>
      <w:tr>
        <w:trPr>
          <w:trHeight w:val="203"/>
        </w:trPr>
        <w:tc>
          <w:tcPr>
            <w:tcW w:w="20" w:type="dxa"/>
            <w:vAlign w:val="bottom"/>
          </w:tcPr>
          <w:p>
            <w:pPr>
              <w:spacing w:after="0"/>
              <w:rPr>
                <w:sz w:val="17"/>
                <w:szCs w:val="17"/>
                <w:color w:val="auto"/>
              </w:rPr>
            </w:pPr>
          </w:p>
        </w:tc>
        <w:tc>
          <w:tcPr>
            <w:tcW w:w="3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 revenue growth</w:t>
            </w:r>
          </w:p>
        </w:tc>
        <w:tc>
          <w:tcPr>
            <w:tcW w:w="1960" w:type="dxa"/>
            <w:vAlign w:val="bottom"/>
            <w:tcBorders>
              <w:top w:val="single" w:sz="8" w:color="auto"/>
            </w:tcBorders>
            <w:shd w:val="clear" w:color="auto" w:fill="CCEEFF"/>
          </w:tcPr>
          <w:p>
            <w:pPr>
              <w:jc w:val="center"/>
              <w:ind w:left="532"/>
              <w:spacing w:after="0" w:line="202" w:lineRule="exact"/>
              <w:rPr>
                <w:sz w:val="20"/>
                <w:szCs w:val="20"/>
                <w:color w:val="auto"/>
              </w:rPr>
            </w:pPr>
            <w:r>
              <w:rPr>
                <w:rFonts w:ascii="Arial" w:cs="Arial" w:eastAsia="Arial" w:hAnsi="Arial"/>
                <w:sz w:val="18"/>
                <w:szCs w:val="18"/>
                <w:color w:val="auto"/>
                <w:w w:val="93"/>
              </w:rPr>
              <w:t>-6%</w:t>
            </w:r>
          </w:p>
        </w:tc>
        <w:tc>
          <w:tcPr>
            <w:tcW w:w="126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 – 2%</w:t>
            </w:r>
          </w:p>
        </w:tc>
        <w:tc>
          <w:tcPr>
            <w:tcW w:w="12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c>
          <w:tcPr>
            <w:tcW w:w="960" w:type="dxa"/>
            <w:vAlign w:val="bottom"/>
            <w:tcBorders>
              <w:top w:val="single" w:sz="8" w:color="auto"/>
            </w:tcBorders>
            <w:shd w:val="clear" w:color="auto" w:fill="CCEEFF"/>
          </w:tcPr>
          <w:p>
            <w:pPr>
              <w:jc w:val="center"/>
              <w:ind w:left="32"/>
              <w:spacing w:after="0" w:line="202" w:lineRule="exact"/>
              <w:rPr>
                <w:sz w:val="20"/>
                <w:szCs w:val="20"/>
                <w:color w:val="auto"/>
              </w:rPr>
            </w:pPr>
            <w:r>
              <w:rPr>
                <w:rFonts w:ascii="Arial" w:cs="Arial" w:eastAsia="Arial" w:hAnsi="Arial"/>
                <w:sz w:val="18"/>
                <w:szCs w:val="18"/>
                <w:color w:val="auto"/>
                <w:w w:val="98"/>
              </w:rPr>
              <w:t>-18.9%</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Fully diluted EPS</w:t>
            </w:r>
          </w:p>
        </w:tc>
        <w:tc>
          <w:tcPr>
            <w:tcW w:w="1960" w:type="dxa"/>
            <w:vAlign w:val="bottom"/>
          </w:tcPr>
          <w:p>
            <w:pPr>
              <w:jc w:val="center"/>
              <w:ind w:left="552"/>
              <w:spacing w:after="0" w:line="202" w:lineRule="exact"/>
              <w:rPr>
                <w:sz w:val="20"/>
                <w:szCs w:val="20"/>
                <w:color w:val="auto"/>
              </w:rPr>
            </w:pPr>
            <w:r>
              <w:rPr>
                <w:rFonts w:ascii="Arial" w:cs="Arial" w:eastAsia="Arial" w:hAnsi="Arial"/>
                <w:sz w:val="18"/>
                <w:szCs w:val="18"/>
                <w:color w:val="auto"/>
                <w:w w:val="97"/>
              </w:rPr>
              <w:t>$2.40</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$3.00</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7"/>
              </w:rPr>
              <w:t>$3.60</w:t>
            </w:r>
          </w:p>
        </w:tc>
        <w:tc>
          <w:tcPr>
            <w:tcW w:w="960" w:type="dxa"/>
            <w:vAlign w:val="bottom"/>
          </w:tcPr>
          <w:p>
            <w:pPr>
              <w:jc w:val="center"/>
              <w:ind w:left="32"/>
              <w:spacing w:after="0" w:line="202" w:lineRule="exact"/>
              <w:rPr>
                <w:sz w:val="20"/>
                <w:szCs w:val="20"/>
                <w:color w:val="auto"/>
              </w:rPr>
            </w:pPr>
            <w:r>
              <w:rPr>
                <w:rFonts w:ascii="Arial" w:cs="Arial" w:eastAsia="Arial" w:hAnsi="Arial"/>
                <w:sz w:val="18"/>
                <w:szCs w:val="18"/>
                <w:color w:val="auto"/>
                <w:w w:val="97"/>
              </w:rPr>
              <w:t>$1.73</w:t>
            </w: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average net assets turns</w:t>
            </w:r>
          </w:p>
        </w:tc>
        <w:tc>
          <w:tcPr>
            <w:tcW w:w="1960" w:type="dxa"/>
            <w:vAlign w:val="bottom"/>
            <w:shd w:val="clear" w:color="auto" w:fill="CCEEFF"/>
          </w:tcPr>
          <w:p>
            <w:pPr>
              <w:jc w:val="center"/>
              <w:ind w:left="532"/>
              <w:spacing w:after="0" w:line="202" w:lineRule="exact"/>
              <w:rPr>
                <w:sz w:val="20"/>
                <w:szCs w:val="20"/>
                <w:color w:val="auto"/>
              </w:rPr>
            </w:pPr>
            <w:r>
              <w:rPr>
                <w:rFonts w:ascii="Arial" w:cs="Arial" w:eastAsia="Arial" w:hAnsi="Arial"/>
                <w:sz w:val="18"/>
                <w:szCs w:val="18"/>
                <w:color w:val="auto"/>
                <w:w w:val="95"/>
              </w:rPr>
              <w:t>1.71234</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2.01452</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2.31670</w:t>
            </w:r>
          </w:p>
        </w:tc>
        <w:tc>
          <w:tcPr>
            <w:tcW w:w="960" w:type="dxa"/>
            <w:vAlign w:val="bottom"/>
            <w:shd w:val="clear" w:color="auto" w:fill="CCEEFF"/>
          </w:tcPr>
          <w:p>
            <w:pPr>
              <w:jc w:val="center"/>
              <w:ind w:left="32"/>
              <w:spacing w:after="0" w:line="202" w:lineRule="exact"/>
              <w:rPr>
                <w:sz w:val="20"/>
                <w:szCs w:val="20"/>
                <w:color w:val="auto"/>
              </w:rPr>
            </w:pPr>
            <w:r>
              <w:rPr>
                <w:rFonts w:ascii="Arial" w:cs="Arial" w:eastAsia="Arial" w:hAnsi="Arial"/>
                <w:sz w:val="18"/>
                <w:szCs w:val="18"/>
                <w:color w:val="auto"/>
                <w:w w:val="98"/>
              </w:rPr>
              <w:t>1.91553</w:t>
            </w:r>
          </w:p>
        </w:tc>
      </w:tr>
    </w:tbl>
    <w:p>
      <w:pPr>
        <w:spacing w:after="0" w:line="219" w:lineRule="exact"/>
        <w:rPr>
          <w:sz w:val="20"/>
          <w:szCs w:val="20"/>
          <w:color w:val="auto"/>
        </w:rPr>
      </w:pPr>
    </w:p>
    <w:p>
      <w:pPr>
        <w:ind w:right="240" w:firstLine="391"/>
        <w:spacing w:after="0" w:line="238" w:lineRule="auto"/>
        <w:rPr>
          <w:sz w:val="20"/>
          <w:szCs w:val="20"/>
          <w:color w:val="auto"/>
        </w:rPr>
      </w:pPr>
      <w:r>
        <w:rPr>
          <w:rFonts w:ascii="Arial" w:cs="Arial" w:eastAsia="Arial" w:hAnsi="Arial"/>
          <w:sz w:val="18"/>
          <w:szCs w:val="18"/>
          <w:color w:val="auto"/>
        </w:rPr>
        <w:t>Since actual EPS was below the threshold of $2.40, there was no payout for any corporate participants and no corporate portion payout for any divisional participants. Two of our divisions, Residential and Micro Irrigation, received divisional payouts of 200% and 35.8%, respectively, which generated overall division payouts of 100% and 17.9%, respectively.</w:t>
      </w:r>
    </w:p>
    <w:p>
      <w:pPr>
        <w:spacing w:after="0" w:line="208"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For fiscal 2009, all of our named executive officers with the exception of Mr. Brown were eligible for payouts based on performance against corporate performance measures. Mr. Brown and other executives with divisional responsibilities received annual incentive payouts based 50% on corporate performance and 50% on division performance for the division(s) in which they have responsibility. For fiscal 2009, Mr. Brown's divisional goals were weighted 70% on performance of the Residential division and 30% on performance of the Landscape Contractor division.</w:t>
      </w:r>
    </w:p>
    <w:p>
      <w:pPr>
        <w:spacing w:after="0" w:line="183" w:lineRule="exact"/>
        <w:rPr>
          <w:sz w:val="20"/>
          <w:szCs w:val="20"/>
          <w:color w:val="auto"/>
        </w:rPr>
      </w:pPr>
    </w:p>
    <w:p>
      <w:pPr>
        <w:ind w:right="260" w:firstLine="381"/>
        <w:spacing w:after="0" w:line="237" w:lineRule="auto"/>
        <w:rPr>
          <w:sz w:val="20"/>
          <w:szCs w:val="20"/>
          <w:color w:val="auto"/>
        </w:rPr>
      </w:pPr>
      <w:r>
        <w:rPr>
          <w:rFonts w:ascii="Arial" w:cs="Arial" w:eastAsia="Arial" w:hAnsi="Arial"/>
          <w:sz w:val="18"/>
          <w:szCs w:val="18"/>
          <w:color w:val="auto"/>
        </w:rPr>
        <w:t>As a result of below threshold EPS levels, there were no AMIP payouts for Messrs. Hoffman, Wolfe, Ramstad or Dordell. As a result of performance in the Residential Business, Mr. Brown received an AMIP payout of $101,029. As indicated previously, our incentive compensation programs ensure that pay varies with performance. Fiscal 2009 financial business results led to significantly lower levels of total cash compensation, which</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spacing w:after="0" w:line="263" w:lineRule="auto"/>
        <w:rPr>
          <w:sz w:val="20"/>
          <w:szCs w:val="20"/>
          <w:color w:val="auto"/>
        </w:rPr>
      </w:pPr>
      <w:r>
        <w:rPr>
          <w:rFonts w:ascii="Arial" w:cs="Arial" w:eastAsia="Arial" w:hAnsi="Arial"/>
          <w:sz w:val="16"/>
          <w:szCs w:val="16"/>
          <w:color w:val="auto"/>
        </w:rPr>
        <w:t>is the sum of base salary and annual cash incentives. The resulting fiscal 2009 total cash compensation and position against the market is summarized below for each of the named executive officers. As reflected in the table, the lack of an AMIP payout for Messrs. Hoffman, Wolfe,</w:t>
      </w:r>
    </w:p>
    <w:p>
      <w:pPr>
        <w:spacing w:after="0" w:line="1" w:lineRule="exact"/>
        <w:rPr>
          <w:sz w:val="20"/>
          <w:szCs w:val="20"/>
          <w:color w:val="auto"/>
        </w:rPr>
      </w:pPr>
    </w:p>
    <w:p>
      <w:pPr>
        <w:ind w:right="220"/>
        <w:spacing w:after="0" w:line="222" w:lineRule="auto"/>
        <w:rPr>
          <w:sz w:val="20"/>
          <w:szCs w:val="20"/>
          <w:color w:val="auto"/>
        </w:rPr>
      </w:pPr>
      <w:r>
        <w:rPr>
          <w:rFonts w:ascii="Arial" w:cs="Arial" w:eastAsia="Arial" w:hAnsi="Arial"/>
          <w:sz w:val="18"/>
          <w:szCs w:val="18"/>
          <w:color w:val="auto"/>
        </w:rPr>
        <w:t>Ramstad and Dordell caused total cash compensation to be well below the targeted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Mr. Brown's AMIP payout and resulting total cash compensation were between the market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5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jc w:val="center"/>
              <w:ind w:right="192"/>
              <w:spacing w:after="0"/>
              <w:rPr>
                <w:sz w:val="20"/>
                <w:szCs w:val="20"/>
                <w:color w:val="auto"/>
              </w:rPr>
            </w:pPr>
            <w:r>
              <w:rPr>
                <w:rFonts w:ascii="Arial" w:cs="Arial" w:eastAsia="Arial" w:hAnsi="Arial"/>
                <w:sz w:val="18"/>
                <w:szCs w:val="18"/>
                <w:b w:val="1"/>
                <w:bCs w:val="1"/>
                <w:color w:val="auto"/>
                <w:w w:val="95"/>
              </w:rPr>
              <w:t>Fiscal 2009 Total</w:t>
            </w:r>
          </w:p>
        </w:tc>
        <w:tc>
          <w:tcPr>
            <w:tcW w:w="35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jc w:val="center"/>
              <w:ind w:right="192"/>
              <w:spacing w:after="0" w:line="202" w:lineRule="exact"/>
              <w:rPr>
                <w:sz w:val="20"/>
                <w:szCs w:val="20"/>
                <w:color w:val="auto"/>
              </w:rPr>
            </w:pPr>
            <w:r>
              <w:rPr>
                <w:rFonts w:ascii="Arial" w:cs="Arial" w:eastAsia="Arial" w:hAnsi="Arial"/>
                <w:sz w:val="18"/>
                <w:szCs w:val="18"/>
                <w:b w:val="1"/>
                <w:bCs w:val="1"/>
                <w:color w:val="auto"/>
                <w:w w:val="95"/>
              </w:rPr>
              <w:t>Cash</w:t>
            </w:r>
          </w:p>
        </w:tc>
        <w:tc>
          <w:tcPr>
            <w:tcW w:w="3580" w:type="dxa"/>
            <w:vAlign w:val="bottom"/>
          </w:tcPr>
          <w:p>
            <w:pPr>
              <w:spacing w:after="0"/>
              <w:rPr>
                <w:sz w:val="17"/>
                <w:szCs w:val="17"/>
                <w:color w:val="auto"/>
              </w:rPr>
            </w:pPr>
          </w:p>
        </w:tc>
      </w:tr>
      <w:tr>
        <w:trPr>
          <w:trHeight w:val="242"/>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7"/>
              </w:rPr>
              <w:t>Compensation</w:t>
            </w:r>
          </w:p>
        </w:tc>
        <w:tc>
          <w:tcPr>
            <w:tcW w:w="358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Position Against Market</w:t>
            </w:r>
          </w:p>
        </w:tc>
      </w:tr>
      <w:tr>
        <w:trPr>
          <w:trHeight w:val="24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766,665</w:t>
            </w:r>
          </w:p>
        </w:tc>
        <w:tc>
          <w:tcPr>
            <w:tcW w:w="3580" w:type="dxa"/>
            <w:vAlign w:val="bottom"/>
            <w:shd w:val="clear" w:color="auto" w:fill="CCEEFF"/>
          </w:tcPr>
          <w:p>
            <w:pPr>
              <w:jc w:val="right"/>
              <w:ind w:right="294"/>
              <w:spacing w:after="0" w:line="243" w:lineRule="exact"/>
              <w:rPr>
                <w:sz w:val="20"/>
                <w:szCs w:val="20"/>
                <w:color w:val="auto"/>
              </w:rPr>
            </w:pPr>
            <w:r>
              <w:rPr>
                <w:rFonts w:ascii="Arial" w:cs="Arial" w:eastAsia="Arial" w:hAnsi="Arial"/>
                <w:sz w:val="17"/>
                <w:szCs w:val="17"/>
                <w:color w:val="auto"/>
              </w:rPr>
              <w:t>54.9%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Mr. Wolfe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375,755</w:t>
            </w:r>
          </w:p>
        </w:tc>
        <w:tc>
          <w:tcPr>
            <w:tcW w:w="3580" w:type="dxa"/>
            <w:vAlign w:val="bottom"/>
          </w:tcPr>
          <w:p>
            <w:pPr>
              <w:jc w:val="right"/>
              <w:ind w:right="294"/>
              <w:spacing w:after="0" w:line="243" w:lineRule="exact"/>
              <w:rPr>
                <w:sz w:val="20"/>
                <w:szCs w:val="20"/>
                <w:color w:val="auto"/>
              </w:rPr>
            </w:pPr>
            <w:r>
              <w:rPr>
                <w:rFonts w:ascii="Arial" w:cs="Arial" w:eastAsia="Arial" w:hAnsi="Arial"/>
                <w:sz w:val="17"/>
                <w:szCs w:val="17"/>
                <w:color w:val="auto"/>
              </w:rPr>
              <w:t>45.5%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Mr. Ramstad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304,553</w:t>
            </w:r>
          </w:p>
        </w:tc>
        <w:tc>
          <w:tcPr>
            <w:tcW w:w="3580" w:type="dxa"/>
            <w:vAlign w:val="bottom"/>
            <w:shd w:val="clear" w:color="auto" w:fill="CCEEFF"/>
          </w:tcPr>
          <w:p>
            <w:pPr>
              <w:jc w:val="right"/>
              <w:ind w:right="294"/>
              <w:spacing w:after="0" w:line="243" w:lineRule="exact"/>
              <w:rPr>
                <w:sz w:val="20"/>
                <w:szCs w:val="20"/>
                <w:color w:val="auto"/>
              </w:rPr>
            </w:pPr>
            <w:r>
              <w:rPr>
                <w:rFonts w:ascii="Arial" w:cs="Arial" w:eastAsia="Arial" w:hAnsi="Arial"/>
                <w:sz w:val="17"/>
                <w:szCs w:val="17"/>
                <w:color w:val="auto"/>
              </w:rPr>
              <w:t>29.2%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Mr. Dordell</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288,157</w:t>
            </w:r>
          </w:p>
        </w:tc>
        <w:tc>
          <w:tcPr>
            <w:tcW w:w="3580" w:type="dxa"/>
            <w:vAlign w:val="bottom"/>
          </w:tcPr>
          <w:p>
            <w:pPr>
              <w:jc w:val="right"/>
              <w:ind w:right="294"/>
              <w:spacing w:after="0" w:line="243" w:lineRule="exact"/>
              <w:rPr>
                <w:sz w:val="20"/>
                <w:szCs w:val="20"/>
                <w:color w:val="auto"/>
              </w:rPr>
            </w:pPr>
            <w:r>
              <w:rPr>
                <w:rFonts w:ascii="Arial" w:cs="Arial" w:eastAsia="Arial" w:hAnsi="Arial"/>
                <w:sz w:val="17"/>
                <w:szCs w:val="17"/>
                <w:color w:val="auto"/>
              </w:rPr>
              <w:t>47.1%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Mr. Brown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353,603</w:t>
            </w:r>
          </w:p>
        </w:tc>
        <w:tc>
          <w:tcPr>
            <w:tcW w:w="3580" w:type="dxa"/>
            <w:vAlign w:val="bottom"/>
            <w:shd w:val="clear" w:color="auto" w:fill="CCEEFF"/>
          </w:tcPr>
          <w:p>
            <w:pPr>
              <w:jc w:val="right"/>
              <w:ind w:right="294"/>
              <w:spacing w:after="0" w:line="243" w:lineRule="exact"/>
              <w:rPr>
                <w:sz w:val="20"/>
                <w:szCs w:val="20"/>
                <w:color w:val="auto"/>
              </w:rPr>
            </w:pPr>
            <w:r>
              <w:rPr>
                <w:rFonts w:ascii="Arial" w:cs="Arial" w:eastAsia="Arial" w:hAnsi="Arial"/>
                <w:sz w:val="17"/>
                <w:szCs w:val="17"/>
                <w:color w:val="auto"/>
              </w:rPr>
              <w:t>8.2%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bl>
    <w:p>
      <w:pPr>
        <w:spacing w:after="0" w:line="199" w:lineRule="exact"/>
        <w:rPr>
          <w:sz w:val="20"/>
          <w:szCs w:val="20"/>
          <w:color w:val="auto"/>
        </w:rPr>
      </w:pPr>
    </w:p>
    <w:p>
      <w:pPr>
        <w:ind w:right="260" w:firstLine="391"/>
        <w:spacing w:after="0" w:line="238" w:lineRule="auto"/>
        <w:rPr>
          <w:sz w:val="20"/>
          <w:szCs w:val="20"/>
          <w:color w:val="auto"/>
        </w:rPr>
      </w:pPr>
      <w:r>
        <w:rPr>
          <w:rFonts w:ascii="Arial" w:cs="Arial" w:eastAsia="Arial" w:hAnsi="Arial"/>
          <w:sz w:val="18"/>
          <w:szCs w:val="18"/>
          <w:b w:val="1"/>
          <w:bCs w:val="1"/>
          <w:i w:val="1"/>
          <w:iCs w:val="1"/>
          <w:color w:val="auto"/>
        </w:rPr>
        <w:t xml:space="preserve">Changes for Fiscal 2010. </w:t>
      </w:r>
      <w:r>
        <w:rPr>
          <w:rFonts w:ascii="Arial" w:cs="Arial" w:eastAsia="Arial" w:hAnsi="Arial"/>
          <w:sz w:val="18"/>
          <w:szCs w:val="18"/>
          <w:color w:val="auto"/>
        </w:rPr>
        <w:t>Since division working capital as a percent of sales replaced current assets turns in fiscal 2009, our divisions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made significant progress toward our goal of driving working capital "into the teens." Continued focus on our working capital initiative and profitability remain important for fiscal 2010. Therefore, both division net working capital as a percent of sales and division controllable profit contribution, or CPC, will remain division metrics for fiscal 2010. While we want to continue our focus on asset management and profitability, we also want revenue to return to prior levels. Therefore, our CEO, our Vice President of Human Resources &amp; Business Development and our Director, Total Rewards and HR Services recommended, and the Compensation &amp; Human Resources Committee approved, division revenue growth as an additional divisional performance measure for fiscal 2010. Corporate performance measures and weightings remain the same for fiscal 2010.</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Long-Term Incentives</w:t>
      </w:r>
    </w:p>
    <w:p>
      <w:pPr>
        <w:spacing w:after="0" w:line="214" w:lineRule="exact"/>
        <w:rPr>
          <w:sz w:val="20"/>
          <w:szCs w:val="20"/>
          <w:color w:val="auto"/>
        </w:rPr>
      </w:pPr>
    </w:p>
    <w:p>
      <w:pPr>
        <w:ind w:firstLine="391"/>
        <w:spacing w:after="0" w:line="270"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believe that the use of equity-based compensation programs, along with our stock ownership guidelines, help align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of our executives and our shareholders. Therefore, we provide the opportunity for our executives to earn competitive long-term incentives. Long-term incentives, in the form of both stock options and performance share awards, are granted to our executives by the Compensation &amp; Human Resources Committee. Each component historically has delivered 50% of the overall targeted long-term incentive value. We generally</w:t>
      </w:r>
    </w:p>
    <w:p>
      <w:pPr>
        <w:spacing w:after="0" w:line="2" w:lineRule="exact"/>
        <w:rPr>
          <w:sz w:val="20"/>
          <w:szCs w:val="20"/>
          <w:color w:val="auto"/>
        </w:rPr>
      </w:pPr>
    </w:p>
    <w:p>
      <w:pPr>
        <w:jc w:val="both"/>
        <w:ind w:right="20"/>
        <w:spacing w:after="0" w:line="196" w:lineRule="auto"/>
        <w:rPr>
          <w:sz w:val="20"/>
          <w:szCs w:val="20"/>
          <w:color w:val="auto"/>
        </w:rPr>
      </w:pPr>
      <w:r>
        <w:rPr>
          <w:rFonts w:ascii="Arial" w:cs="Arial" w:eastAsia="Arial" w:hAnsi="Arial"/>
          <w:sz w:val="17"/>
          <w:szCs w:val="17"/>
          <w:color w:val="auto"/>
        </w:rPr>
        <w:t>target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long-term incentive awards and therefore, have used that market data as a key data point in determining long-term incentive grants. Actual long-term incentive grants are determined after considering the market data, individual performance, length of time in the position and internal positioning. Therefore, an executive may receive less than the full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long-term incentive while gaining</w:t>
      </w:r>
    </w:p>
    <w:p>
      <w:pPr>
        <w:spacing w:after="0" w:line="3" w:lineRule="exact"/>
        <w:rPr>
          <w:sz w:val="20"/>
          <w:szCs w:val="20"/>
          <w:color w:val="auto"/>
        </w:rPr>
      </w:pPr>
    </w:p>
    <w:p>
      <w:pPr>
        <w:ind w:right="180"/>
        <w:spacing w:after="0" w:line="201" w:lineRule="auto"/>
        <w:rPr>
          <w:sz w:val="20"/>
          <w:szCs w:val="20"/>
          <w:color w:val="auto"/>
        </w:rPr>
      </w:pPr>
      <w:r>
        <w:rPr>
          <w:rFonts w:ascii="Arial" w:cs="Arial" w:eastAsia="Arial" w:hAnsi="Arial"/>
          <w:sz w:val="18"/>
          <w:szCs w:val="18"/>
          <w:color w:val="auto"/>
        </w:rPr>
        <w:t>experience in a new position. Additionally, an executive may receive more than the full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long-term incentive value based on superior individual performance.</w:t>
      </w:r>
    </w:p>
    <w:p>
      <w:pPr>
        <w:spacing w:after="0" w:line="190" w:lineRule="exact"/>
        <w:rPr>
          <w:sz w:val="20"/>
          <w:szCs w:val="20"/>
          <w:color w:val="auto"/>
        </w:rPr>
      </w:pPr>
    </w:p>
    <w:p>
      <w:pPr>
        <w:ind w:right="940" w:firstLine="391"/>
        <w:spacing w:after="0" w:line="262"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Each year at its regular meeting held in November or December, which is the first meeting of the fiscal year,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&amp; Human Resources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360"/>
        <w:spacing w:after="0" w:line="281" w:lineRule="auto"/>
        <w:rPr>
          <w:sz w:val="20"/>
          <w:szCs w:val="20"/>
          <w:color w:val="auto"/>
        </w:rPr>
      </w:pPr>
      <w:r>
        <w:rPr>
          <w:rFonts w:ascii="Arial" w:cs="Arial" w:eastAsia="Arial" w:hAnsi="Arial"/>
          <w:sz w:val="16"/>
          <w:szCs w:val="16"/>
          <w:color w:val="auto"/>
        </w:rPr>
        <w:t>Committee grants options to our executives. Options are granted by the committee under The Toro Company 2000 Stock Option Plan, or 2000 Stock Option Plan. If shareholder value is not delivered and our stock price does not increase, the options will not have any value. If we deliver strong shareholder returns, our stock price presumably will increase, thereby increasing the value of the stock options and total compensation.</w:t>
      </w:r>
    </w:p>
    <w:p>
      <w:pPr>
        <w:spacing w:after="0" w:line="178" w:lineRule="exact"/>
        <w:rPr>
          <w:sz w:val="20"/>
          <w:szCs w:val="20"/>
          <w:color w:val="auto"/>
        </w:rPr>
      </w:pPr>
    </w:p>
    <w:p>
      <w:pPr>
        <w:ind w:right="40" w:firstLine="391"/>
        <w:spacing w:after="0" w:line="236" w:lineRule="auto"/>
        <w:rPr>
          <w:sz w:val="20"/>
          <w:szCs w:val="20"/>
          <w:color w:val="auto"/>
        </w:rPr>
      </w:pPr>
      <w:r>
        <w:rPr>
          <w:rFonts w:ascii="Arial" w:cs="Arial" w:eastAsia="Arial" w:hAnsi="Arial"/>
          <w:sz w:val="18"/>
          <w:szCs w:val="18"/>
          <w:color w:val="auto"/>
        </w:rPr>
        <w:t>Our historical process to determine the number of options to award to our executives, including our named executive officers, has been to start with a total expected value of options to be granted to each executive officer (which historically has represented one-half of the total long-term incentive value to be awarded). That value is then divided by the expected value of one option, using the Black-Scholes option pricing method, to determine the number of options to grant. The calculation of the expected value is based on the average closing price of our common stock, as reported on the NYSE, over the last three months of the prior fiscal year.</w:t>
      </w:r>
    </w:p>
    <w:p>
      <w:pPr>
        <w:spacing w:after="0" w:line="211"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color w:val="auto"/>
        </w:rPr>
        <w:t>Stock options granted to our executives, including our named executive officers, in fiscal 2009 vest in three approximately equal installments on each of the first, second and third year anniversaries of the date of grant and are exercisable for a period of 10 years following the date of grant. The Compensation &amp; Human Resources Committee periodically reviews vesting schedules and term schedules for similarly sized companies. The number of options awarded to our named executive officers for fiscal 2009 can be found in the "Grants of Plan-Based Awards for Fiscal 2009" table on page 53. The exercise price of the options is the closing price of our common stock, as reported on the NYSE, on the date of grant, which for fiscal 2009 was December 3, 2008. The exercise price for the fiscal 2009 stock options was $28.62.</w:t>
      </w:r>
    </w:p>
    <w:p>
      <w:pPr>
        <w:spacing w:after="0" w:line="190" w:lineRule="exact"/>
        <w:rPr>
          <w:sz w:val="20"/>
          <w:szCs w:val="20"/>
          <w:color w:val="auto"/>
        </w:rPr>
      </w:pPr>
    </w:p>
    <w:p>
      <w:pPr>
        <w:ind w:right="140" w:firstLine="391"/>
        <w:spacing w:after="0" w:line="241" w:lineRule="auto"/>
        <w:rPr>
          <w:sz w:val="20"/>
          <w:szCs w:val="20"/>
          <w:color w:val="auto"/>
        </w:rPr>
      </w:pPr>
      <w:r>
        <w:rPr>
          <w:rFonts w:ascii="Arial" w:cs="Arial" w:eastAsia="Arial" w:hAnsi="Arial"/>
          <w:sz w:val="18"/>
          <w:szCs w:val="18"/>
          <w:b w:val="1"/>
          <w:bCs w:val="1"/>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grants performance share awards under The Toro Company Performance Share Plan, or PSP, to our executives, including our named executive officers, and selected general managers and managing directors. Performance share awards are paid out in shares of our common stock after a three-year award term. At the beginning of the fiscal year, the committee establishes financial business goals for the next three-year award term and also establishes thresholds and maximums.</w:t>
      </w:r>
    </w:p>
    <w:p>
      <w:pPr>
        <w:spacing w:after="0" w:line="2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fiscal 2009 to fiscal 2011 awards, the following goals and weightings were established:</w:t>
      </w:r>
    </w:p>
    <w:p>
      <w:pPr>
        <w:spacing w:after="0" w:line="21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25% cumulative corporate average net assets turns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25% cumulative revenue</w:t>
      </w:r>
    </w:p>
    <w:p>
      <w:pPr>
        <w:spacing w:after="0" w:line="212" w:lineRule="exact"/>
        <w:rPr>
          <w:sz w:val="20"/>
          <w:szCs w:val="20"/>
          <w:color w:val="auto"/>
        </w:rPr>
      </w:pPr>
    </w:p>
    <w:p>
      <w:pPr>
        <w:ind w:right="80" w:firstLine="391"/>
        <w:spacing w:after="0" w:line="238" w:lineRule="auto"/>
        <w:rPr>
          <w:sz w:val="20"/>
          <w:szCs w:val="20"/>
          <w:color w:val="auto"/>
        </w:rPr>
      </w:pPr>
      <w:r>
        <w:rPr>
          <w:rFonts w:ascii="Arial" w:cs="Arial" w:eastAsia="Arial" w:hAnsi="Arial"/>
          <w:sz w:val="18"/>
          <w:szCs w:val="18"/>
          <w:color w:val="auto"/>
        </w:rPr>
        <w:t>Similar to how the goals are set in the AMIP, our prior fiscal year financial business results, our competitive situation, our evaluation of market data, as well as the general state of the economy and our business, including any anticipated business opportunities, are considered by the committee when establishing goals for the next three-year award term.</w:t>
      </w:r>
    </w:p>
    <w:p>
      <w:pPr>
        <w:spacing w:after="0" w:line="208" w:lineRule="exact"/>
        <w:rPr>
          <w:sz w:val="20"/>
          <w:szCs w:val="20"/>
          <w:color w:val="auto"/>
        </w:rPr>
      </w:pPr>
    </w:p>
    <w:p>
      <w:pPr>
        <w:ind w:right="200" w:firstLine="391"/>
        <w:spacing w:after="0" w:line="239" w:lineRule="auto"/>
        <w:rPr>
          <w:sz w:val="20"/>
          <w:szCs w:val="20"/>
          <w:color w:val="auto"/>
        </w:rPr>
      </w:pPr>
      <w:r>
        <w:rPr>
          <w:rFonts w:ascii="Arial" w:cs="Arial" w:eastAsia="Arial" w:hAnsi="Arial"/>
          <w:sz w:val="18"/>
          <w:szCs w:val="18"/>
          <w:color w:val="auto"/>
        </w:rPr>
        <w:t>Our historical process to determine the number of performance share awards to be granted to our named executive officers is to start with a total expected value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performance share awards to be delivered (which represents one-half of the total expected long-term incentive value to be awarded). That value then is divided by an expected value per share to determine the number of performance share awards to grant at target.</w:t>
      </w:r>
    </w:p>
    <w:p>
      <w:pPr>
        <w:spacing w:after="0" w:line="209" w:lineRule="exact"/>
        <w:rPr>
          <w:sz w:val="20"/>
          <w:szCs w:val="20"/>
          <w:color w:val="auto"/>
        </w:rPr>
      </w:pPr>
    </w:p>
    <w:p>
      <w:pPr>
        <w:ind w:firstLine="381"/>
        <w:spacing w:after="0" w:line="236" w:lineRule="auto"/>
        <w:rPr>
          <w:sz w:val="20"/>
          <w:szCs w:val="20"/>
          <w:color w:val="auto"/>
        </w:rPr>
      </w:pPr>
      <w:r>
        <w:rPr>
          <w:rFonts w:ascii="Arial" w:cs="Arial" w:eastAsia="Arial" w:hAnsi="Arial"/>
          <w:sz w:val="18"/>
          <w:szCs w:val="18"/>
          <w:color w:val="auto"/>
        </w:rPr>
        <w:t>At the end of the three-year award term, at the committee's regular meeting in November or December, our CEO, our Vice President of Human Resources &amp; Business Development and our Director, Total Rewards and HR Services summarize performance against the financial business goals and determine a payout, which is expressed as a percent of target. The Compensation &amp; Human Resources Committee then verifies that the financial business goals were achieved at the levels presented at the meeting. Shares of our common stock are paid out to the named executive officers in December and are contingent on our final earnings release for the fiscal year. The number of performance shares awarded to our named executive officers for the fiscal 2009 through fiscal 2011 award term can be found in the "Grants of Plan-Based Awards for Fiscal 2009" table on page 53.</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fiscal 2007 through fiscal 2009, the following goals and weightings were established:</w:t>
      </w:r>
    </w:p>
    <w:p>
      <w:pPr>
        <w:spacing w:after="0" w:line="21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50% cumulative corporate average net assets turns</w:t>
      </w:r>
    </w:p>
    <w:p>
      <w:pPr>
        <w:spacing w:after="0" w:line="192" w:lineRule="exact"/>
        <w:rPr>
          <w:sz w:val="20"/>
          <w:szCs w:val="20"/>
          <w:color w:val="auto"/>
        </w:rPr>
      </w:pPr>
    </w:p>
    <w:p>
      <w:pPr>
        <w:ind w:right="20" w:firstLine="391"/>
        <w:spacing w:after="0" w:line="235" w:lineRule="auto"/>
        <w:rPr>
          <w:sz w:val="20"/>
          <w:szCs w:val="20"/>
          <w:color w:val="auto"/>
        </w:rPr>
      </w:pPr>
      <w:r>
        <w:rPr>
          <w:rFonts w:ascii="Arial" w:cs="Arial" w:eastAsia="Arial" w:hAnsi="Arial"/>
          <w:sz w:val="17"/>
          <w:szCs w:val="17"/>
          <w:b w:val="1"/>
          <w:bCs w:val="1"/>
          <w:i w:val="1"/>
          <w:iCs w:val="1"/>
          <w:color w:val="auto"/>
        </w:rPr>
        <w:t xml:space="preserve">Our Discussion and Analysis. </w:t>
      </w:r>
      <w:r>
        <w:rPr>
          <w:rFonts w:ascii="Arial" w:cs="Arial" w:eastAsia="Arial" w:hAnsi="Arial"/>
          <w:sz w:val="17"/>
          <w:szCs w:val="17"/>
          <w:color w:val="auto"/>
        </w:rPr>
        <w:t>Delivering long-term incentives equally in the form of stock options and performance share awards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effective in focusing our executives on both short-term and long-term financial business results and encouraging stock ownership. Annually, the Compensation &amp; Human Resources Committee, Towers Watson, our CEO, our Vice President, Human Resources &amp; Business Development and our Director, Total Rewards and HR Services review the performance measures utilized in the performance share plan to confirm that such measures are the most effective measures for driving results. The value of long-term incentives delivered to each of our named executive officers for fiscal 2009 generally was targeted at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the position in which such named executive officer serves. The long-term</w:t>
      </w:r>
    </w:p>
    <w:p>
      <w:pPr>
        <w:spacing w:after="0" w:line="3" w:lineRule="exact"/>
        <w:rPr>
          <w:sz w:val="20"/>
          <w:szCs w:val="20"/>
          <w:color w:val="auto"/>
        </w:rPr>
      </w:pPr>
    </w:p>
    <w:p>
      <w:pPr>
        <w:ind w:right="320"/>
        <w:spacing w:after="0" w:line="201" w:lineRule="auto"/>
        <w:rPr>
          <w:sz w:val="20"/>
          <w:szCs w:val="20"/>
          <w:color w:val="auto"/>
        </w:rPr>
      </w:pPr>
      <w:r>
        <w:rPr>
          <w:rFonts w:ascii="Arial" w:cs="Arial" w:eastAsia="Arial" w:hAnsi="Arial"/>
          <w:sz w:val="18"/>
          <w:szCs w:val="18"/>
          <w:color w:val="auto"/>
        </w:rPr>
        <w:t>incentives for some of our named executive officers varied from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to reflect experience in their position and individual performance.</w:t>
      </w:r>
    </w:p>
    <w:p>
      <w:pPr>
        <w:spacing w:after="0" w:line="210" w:lineRule="exact"/>
        <w:rPr>
          <w:sz w:val="20"/>
          <w:szCs w:val="20"/>
          <w:color w:val="auto"/>
        </w:rPr>
      </w:pPr>
    </w:p>
    <w:p>
      <w:pPr>
        <w:ind w:right="520" w:firstLine="391"/>
        <w:spacing w:after="0" w:line="239" w:lineRule="auto"/>
        <w:rPr>
          <w:sz w:val="20"/>
          <w:szCs w:val="20"/>
          <w:color w:val="auto"/>
        </w:rPr>
      </w:pPr>
      <w:r>
        <w:rPr>
          <w:rFonts w:ascii="Arial" w:cs="Arial" w:eastAsia="Arial" w:hAnsi="Arial"/>
          <w:sz w:val="18"/>
          <w:szCs w:val="18"/>
          <w:color w:val="auto"/>
        </w:rPr>
        <w:t>Below is a table summarizing the financial business goals for the fiscal 2007 to fiscal 2009 award term, including the threshold, target, maximum and actual levels of performance.</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Fiscal 2007 to Fiscal 2009</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2"/>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Performance Measure</w:t>
            </w:r>
          </w:p>
        </w:tc>
        <w:tc>
          <w:tcPr>
            <w:tcW w:w="1580" w:type="dxa"/>
            <w:vAlign w:val="bottom"/>
          </w:tcPr>
          <w:p>
            <w:pPr>
              <w:jc w:val="right"/>
              <w:ind w:right="232"/>
              <w:spacing w:after="0"/>
              <w:rPr>
                <w:sz w:val="20"/>
                <w:szCs w:val="20"/>
                <w:color w:val="auto"/>
              </w:rPr>
            </w:pPr>
            <w:r>
              <w:rPr>
                <w:rFonts w:ascii="Arial" w:cs="Arial" w:eastAsia="Arial" w:hAnsi="Arial"/>
                <w:sz w:val="18"/>
                <w:szCs w:val="18"/>
                <w:b w:val="1"/>
                <w:bCs w:val="1"/>
                <w:color w:val="auto"/>
              </w:rPr>
              <w:t>Threshold</w:t>
            </w:r>
          </w:p>
        </w:tc>
        <w:tc>
          <w:tcPr>
            <w:tcW w:w="30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Arial" w:cs="Arial" w:eastAsia="Arial" w:hAnsi="Arial"/>
                <w:sz w:val="18"/>
                <w:szCs w:val="18"/>
                <w:b w:val="1"/>
                <w:bCs w:val="1"/>
                <w:color w:val="auto"/>
              </w:rPr>
              <w:t>Target</w:t>
            </w:r>
          </w:p>
        </w:tc>
        <w:tc>
          <w:tcPr>
            <w:tcW w:w="240" w:type="dxa"/>
            <w:vAlign w:val="bottom"/>
          </w:tcPr>
          <w:p>
            <w:pPr>
              <w:spacing w:after="0"/>
              <w:rPr>
                <w:sz w:val="21"/>
                <w:szCs w:val="21"/>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b w:val="1"/>
                <w:bCs w:val="1"/>
                <w:color w:val="auto"/>
              </w:rPr>
              <w:t>Maximum</w:t>
            </w:r>
          </w:p>
        </w:tc>
        <w:tc>
          <w:tcPr>
            <w:tcW w:w="30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Actual</w:t>
            </w:r>
          </w:p>
        </w:tc>
      </w:tr>
      <w:tr>
        <w:trPr>
          <w:trHeight w:val="20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Cumulative net income plus after-tax</w:t>
            </w:r>
          </w:p>
        </w:tc>
        <w:tc>
          <w:tcPr>
            <w:tcW w:w="1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interest</w:t>
            </w:r>
          </w:p>
        </w:tc>
        <w:tc>
          <w:tcPr>
            <w:tcW w:w="15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305,405,000</w:t>
            </w:r>
          </w:p>
        </w:tc>
        <w:tc>
          <w:tcPr>
            <w:tcW w:w="30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509,009,000</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576,876,000</w:t>
            </w:r>
          </w:p>
        </w:tc>
        <w:tc>
          <w:tcPr>
            <w:tcW w:w="30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365,527,000</w:t>
            </w:r>
          </w:p>
        </w:tc>
        <w:tc>
          <w:tcPr>
            <w:tcW w:w="160" w:type="dxa"/>
            <w:vAlign w:val="bottom"/>
            <w:shd w:val="clear" w:color="auto" w:fill="CCEEFF"/>
          </w:tcPr>
          <w:p>
            <w:pPr>
              <w:spacing w:after="0"/>
              <w:rPr>
                <w:sz w:val="17"/>
                <w:szCs w:val="17"/>
                <w:color w:val="auto"/>
              </w:rPr>
            </w:pPr>
          </w:p>
        </w:tc>
      </w:tr>
      <w:tr>
        <w:trPr>
          <w:trHeight w:val="206"/>
        </w:trPr>
        <w:tc>
          <w:tcPr>
            <w:tcW w:w="3040" w:type="dxa"/>
            <w:vAlign w:val="bottom"/>
            <w:gridSpan w:val="2"/>
          </w:tcPr>
          <w:p>
            <w:pPr>
              <w:spacing w:after="0" w:line="206" w:lineRule="exact"/>
              <w:rPr>
                <w:sz w:val="20"/>
                <w:szCs w:val="20"/>
                <w:color w:val="auto"/>
              </w:rPr>
            </w:pPr>
            <w:r>
              <w:rPr>
                <w:rFonts w:ascii="Arial" w:cs="Arial" w:eastAsia="Arial" w:hAnsi="Arial"/>
                <w:sz w:val="18"/>
                <w:szCs w:val="18"/>
                <w:color w:val="auto"/>
              </w:rPr>
              <w:t>Cumulative corporate average net</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assets turns</w:t>
            </w:r>
          </w:p>
        </w:tc>
        <w:tc>
          <w:tcPr>
            <w:tcW w:w="1580" w:type="dxa"/>
            <w:vAlign w:val="bottom"/>
          </w:tcPr>
          <w:p>
            <w:pPr>
              <w:jc w:val="right"/>
              <w:spacing w:after="0"/>
              <w:rPr>
                <w:sz w:val="20"/>
                <w:szCs w:val="20"/>
                <w:color w:val="auto"/>
              </w:rPr>
            </w:pPr>
            <w:r>
              <w:rPr>
                <w:rFonts w:ascii="Arial" w:cs="Arial" w:eastAsia="Arial" w:hAnsi="Arial"/>
                <w:sz w:val="18"/>
                <w:szCs w:val="18"/>
                <w:color w:val="auto"/>
              </w:rPr>
              <w:t>5.14151</w:t>
            </w:r>
          </w:p>
        </w:tc>
        <w:tc>
          <w:tcPr>
            <w:tcW w:w="3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6.04884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6.95616</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5.72275</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40" w:firstLine="381"/>
        <w:spacing w:after="0" w:line="239" w:lineRule="auto"/>
        <w:rPr>
          <w:sz w:val="20"/>
          <w:szCs w:val="20"/>
          <w:color w:val="auto"/>
        </w:rPr>
      </w:pPr>
      <w:r>
        <w:rPr>
          <w:rFonts w:ascii="Arial" w:cs="Arial" w:eastAsia="Arial" w:hAnsi="Arial"/>
          <w:sz w:val="18"/>
          <w:szCs w:val="18"/>
          <w:color w:val="auto"/>
        </w:rPr>
        <w:t>Actual levels of performance translated into a payout percent of 34.4% of target. Therefore, eligible participants received 34.4% of the target shares granted for the fiscal 2007 to fiscal 2009 award term. A summary of the performance shares awarded to the</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named executive officers for the fiscal 2007 to fiscal 2009 award term can be found in the "Option Exercises and Stock Vested for Fiscal 2009" table on page 56.</w:t>
      </w:r>
    </w:p>
    <w:p>
      <w:pPr>
        <w:spacing w:after="0" w:line="209" w:lineRule="exact"/>
        <w:rPr>
          <w:sz w:val="20"/>
          <w:szCs w:val="20"/>
          <w:color w:val="auto"/>
        </w:rPr>
      </w:pPr>
    </w:p>
    <w:p>
      <w:pPr>
        <w:ind w:right="80" w:firstLine="391"/>
        <w:spacing w:after="0" w:line="228" w:lineRule="auto"/>
        <w:rPr>
          <w:sz w:val="20"/>
          <w:szCs w:val="20"/>
          <w:color w:val="auto"/>
        </w:rPr>
      </w:pPr>
      <w:r>
        <w:rPr>
          <w:rFonts w:ascii="Arial" w:cs="Arial" w:eastAsia="Arial" w:hAnsi="Arial"/>
          <w:sz w:val="18"/>
          <w:szCs w:val="18"/>
          <w:b w:val="1"/>
          <w:bCs w:val="1"/>
          <w:i w:val="1"/>
          <w:iCs w:val="1"/>
          <w:color w:val="auto"/>
        </w:rPr>
        <w:t xml:space="preserve">Impact on Total Direct Compensation. </w:t>
      </w:r>
      <w:r>
        <w:rPr>
          <w:rFonts w:ascii="Arial" w:cs="Arial" w:eastAsia="Arial" w:hAnsi="Arial"/>
          <w:sz w:val="18"/>
          <w:szCs w:val="18"/>
          <w:color w:val="auto"/>
        </w:rPr>
        <w:t>The table below reflects total direct compensation in comparison to the market 50</w:t>
      </w:r>
      <w:r>
        <w:rPr>
          <w:rFonts w:ascii="Arial" w:cs="Arial" w:eastAsia="Arial" w:hAnsi="Arial"/>
          <w:sz w:val="18"/>
          <w:szCs w:val="18"/>
          <w:b w:val="1"/>
          <w:bCs w:val="1"/>
          <w:i w:val="1"/>
          <w:iCs w:val="1"/>
          <w:color w:val="auto"/>
        </w:rPr>
        <w:t xml:space="preserve"> </w:t>
      </w:r>
      <w:r>
        <w:rPr>
          <w:rFonts w:ascii="Arial" w:cs="Arial" w:eastAsia="Arial" w:hAnsi="Arial"/>
          <w:sz w:val="29"/>
          <w:szCs w:val="29"/>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named executive officers. Total direct compensation represents the sum of fiscal 2009 base salary, fiscal 2009 annual cash incentives, grant date fair value of fiscal 2009 stock option grants and grant date fair value of the performance shares awarded at target for the fiscal 2009 to fiscal 2011 award term. Actual AMIP payouts had a significant impact, resulting in total direct compensation being well below the target of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6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jc w:val="center"/>
              <w:ind w:right="212"/>
              <w:spacing w:after="0"/>
              <w:rPr>
                <w:sz w:val="20"/>
                <w:szCs w:val="20"/>
                <w:color w:val="auto"/>
              </w:rPr>
            </w:pPr>
            <w:r>
              <w:rPr>
                <w:rFonts w:ascii="Arial" w:cs="Arial" w:eastAsia="Arial" w:hAnsi="Arial"/>
                <w:sz w:val="18"/>
                <w:szCs w:val="18"/>
                <w:b w:val="1"/>
                <w:bCs w:val="1"/>
                <w:color w:val="auto"/>
                <w:w w:val="97"/>
              </w:rPr>
              <w:t>Fiscal 2009 Total</w:t>
            </w:r>
          </w:p>
        </w:tc>
        <w:tc>
          <w:tcPr>
            <w:tcW w:w="358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tcPr>
          <w:p>
            <w:pPr>
              <w:jc w:val="center"/>
              <w:ind w:right="212"/>
              <w:spacing w:after="0" w:line="202" w:lineRule="exact"/>
              <w:rPr>
                <w:sz w:val="20"/>
                <w:szCs w:val="20"/>
                <w:color w:val="auto"/>
              </w:rPr>
            </w:pPr>
            <w:r>
              <w:rPr>
                <w:rFonts w:ascii="Arial" w:cs="Arial" w:eastAsia="Arial" w:hAnsi="Arial"/>
                <w:sz w:val="18"/>
                <w:szCs w:val="18"/>
                <w:b w:val="1"/>
                <w:bCs w:val="1"/>
                <w:color w:val="auto"/>
                <w:w w:val="93"/>
              </w:rPr>
              <w:t>Direct</w:t>
            </w:r>
          </w:p>
        </w:tc>
        <w:tc>
          <w:tcPr>
            <w:tcW w:w="3580" w:type="dxa"/>
            <w:vAlign w:val="bottom"/>
          </w:tcPr>
          <w:p>
            <w:pPr>
              <w:spacing w:after="0"/>
              <w:rPr>
                <w:sz w:val="17"/>
                <w:szCs w:val="17"/>
                <w:color w:val="auto"/>
              </w:rPr>
            </w:pPr>
          </w:p>
        </w:tc>
      </w:tr>
      <w:tr>
        <w:trPr>
          <w:trHeight w:val="242"/>
        </w:trPr>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97"/>
              </w:rPr>
              <w:t>Compensation</w:t>
            </w:r>
          </w:p>
        </w:tc>
        <w:tc>
          <w:tcPr>
            <w:tcW w:w="35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Position Against Market</w:t>
            </w:r>
          </w:p>
        </w:tc>
      </w:tr>
      <w:tr>
        <w:trPr>
          <w:trHeight w:val="243"/>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2,324,583</w:t>
            </w:r>
          </w:p>
        </w:tc>
        <w:tc>
          <w:tcPr>
            <w:tcW w:w="3580" w:type="dxa"/>
            <w:vAlign w:val="bottom"/>
            <w:shd w:val="clear" w:color="auto" w:fill="CCEEFF"/>
          </w:tcPr>
          <w:p>
            <w:pPr>
              <w:ind w:left="140"/>
              <w:spacing w:after="0" w:line="243" w:lineRule="exact"/>
              <w:rPr>
                <w:sz w:val="20"/>
                <w:szCs w:val="20"/>
                <w:color w:val="auto"/>
              </w:rPr>
            </w:pPr>
            <w:r>
              <w:rPr>
                <w:rFonts w:ascii="Arial" w:cs="Arial" w:eastAsia="Arial" w:hAnsi="Arial"/>
                <w:sz w:val="17"/>
                <w:szCs w:val="17"/>
                <w:color w:val="auto"/>
              </w:rPr>
              <w:t>40.5%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760" w:type="dxa"/>
            <w:vAlign w:val="bottom"/>
          </w:tcPr>
          <w:p>
            <w:pPr>
              <w:spacing w:after="0"/>
              <w:rPr>
                <w:sz w:val="20"/>
                <w:szCs w:val="20"/>
                <w:color w:val="auto"/>
              </w:rPr>
            </w:pPr>
            <w:r>
              <w:rPr>
                <w:rFonts w:ascii="Arial" w:cs="Arial" w:eastAsia="Arial" w:hAnsi="Arial"/>
                <w:sz w:val="18"/>
                <w:szCs w:val="18"/>
                <w:color w:val="auto"/>
              </w:rPr>
              <w:t>Mr. Wolfe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783,437</w:t>
            </w:r>
          </w:p>
        </w:tc>
        <w:tc>
          <w:tcPr>
            <w:tcW w:w="3580" w:type="dxa"/>
            <w:vAlign w:val="bottom"/>
          </w:tcPr>
          <w:p>
            <w:pPr>
              <w:ind w:left="140"/>
              <w:spacing w:after="0" w:line="243" w:lineRule="exact"/>
              <w:rPr>
                <w:sz w:val="20"/>
                <w:szCs w:val="20"/>
                <w:color w:val="auto"/>
              </w:rPr>
            </w:pPr>
            <w:r>
              <w:rPr>
                <w:rFonts w:ascii="Arial" w:cs="Arial" w:eastAsia="Arial" w:hAnsi="Arial"/>
                <w:sz w:val="17"/>
                <w:szCs w:val="17"/>
                <w:color w:val="auto"/>
              </w:rPr>
              <w:t>38.3%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Mr. Ramstad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568,397</w:t>
            </w:r>
          </w:p>
        </w:tc>
        <w:tc>
          <w:tcPr>
            <w:tcW w:w="3580" w:type="dxa"/>
            <w:vAlign w:val="bottom"/>
            <w:shd w:val="clear" w:color="auto" w:fill="CCEEFF"/>
          </w:tcPr>
          <w:p>
            <w:pPr>
              <w:ind w:left="140"/>
              <w:spacing w:after="0" w:line="243" w:lineRule="exact"/>
              <w:rPr>
                <w:sz w:val="20"/>
                <w:szCs w:val="20"/>
                <w:color w:val="auto"/>
              </w:rPr>
            </w:pPr>
            <w:r>
              <w:rPr>
                <w:rFonts w:ascii="Arial" w:cs="Arial" w:eastAsia="Arial" w:hAnsi="Arial"/>
                <w:sz w:val="17"/>
                <w:szCs w:val="17"/>
                <w:color w:val="auto"/>
              </w:rPr>
              <w:t>18.2%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760" w:type="dxa"/>
            <w:vAlign w:val="bottom"/>
          </w:tcPr>
          <w:p>
            <w:pPr>
              <w:spacing w:after="0"/>
              <w:rPr>
                <w:sz w:val="20"/>
                <w:szCs w:val="20"/>
                <w:color w:val="auto"/>
              </w:rPr>
            </w:pPr>
            <w:r>
              <w:rPr>
                <w:rFonts w:ascii="Arial" w:cs="Arial" w:eastAsia="Arial" w:hAnsi="Arial"/>
                <w:sz w:val="18"/>
                <w:szCs w:val="18"/>
                <w:color w:val="auto"/>
              </w:rPr>
              <w:t>Mr. Dordell</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583,879</w:t>
            </w:r>
          </w:p>
        </w:tc>
        <w:tc>
          <w:tcPr>
            <w:tcW w:w="3580" w:type="dxa"/>
            <w:vAlign w:val="bottom"/>
          </w:tcPr>
          <w:p>
            <w:pPr>
              <w:ind w:left="140"/>
              <w:spacing w:after="0" w:line="243" w:lineRule="exact"/>
              <w:rPr>
                <w:sz w:val="20"/>
                <w:szCs w:val="20"/>
                <w:color w:val="auto"/>
              </w:rPr>
            </w:pPr>
            <w:r>
              <w:rPr>
                <w:rFonts w:ascii="Arial" w:cs="Arial" w:eastAsia="Arial" w:hAnsi="Arial"/>
                <w:sz w:val="17"/>
                <w:szCs w:val="17"/>
                <w:color w:val="auto"/>
              </w:rPr>
              <w:t>39.5%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r>
        <w:trPr>
          <w:trHeight w:val="243"/>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Mr. Brown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495,118</w:t>
            </w:r>
          </w:p>
        </w:tc>
        <w:tc>
          <w:tcPr>
            <w:tcW w:w="3580" w:type="dxa"/>
            <w:vAlign w:val="bottom"/>
            <w:shd w:val="clear" w:color="auto" w:fill="CCEEFF"/>
          </w:tcPr>
          <w:p>
            <w:pPr>
              <w:ind w:left="140"/>
              <w:spacing w:after="0" w:line="243" w:lineRule="exact"/>
              <w:rPr>
                <w:sz w:val="20"/>
                <w:szCs w:val="20"/>
                <w:color w:val="auto"/>
              </w:rPr>
            </w:pPr>
            <w:r>
              <w:rPr>
                <w:rFonts w:ascii="Arial" w:cs="Arial" w:eastAsia="Arial" w:hAnsi="Arial"/>
                <w:sz w:val="17"/>
                <w:szCs w:val="17"/>
                <w:color w:val="auto"/>
              </w:rPr>
              <w:t>16.8% below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r>
    </w:tbl>
    <w:p>
      <w:pPr>
        <w:spacing w:after="0" w:line="199" w:lineRule="exact"/>
        <w:rPr>
          <w:sz w:val="20"/>
          <w:szCs w:val="20"/>
          <w:color w:val="auto"/>
        </w:rPr>
      </w:pPr>
    </w:p>
    <w:p>
      <w:pPr>
        <w:ind w:right="20" w:firstLine="391"/>
        <w:spacing w:after="0" w:line="271" w:lineRule="auto"/>
        <w:rPr>
          <w:sz w:val="20"/>
          <w:szCs w:val="20"/>
          <w:color w:val="auto"/>
        </w:rPr>
      </w:pPr>
      <w:r>
        <w:rPr>
          <w:rFonts w:ascii="Arial" w:cs="Arial" w:eastAsia="Arial" w:hAnsi="Arial"/>
          <w:sz w:val="16"/>
          <w:szCs w:val="16"/>
          <w:b w:val="1"/>
          <w:bCs w:val="1"/>
          <w:i w:val="1"/>
          <w:iCs w:val="1"/>
          <w:color w:val="auto"/>
        </w:rPr>
        <w:t xml:space="preserve">Changes for Fiscal 2010. </w:t>
      </w:r>
      <w:r>
        <w:rPr>
          <w:rFonts w:ascii="Arial" w:cs="Arial" w:eastAsia="Arial" w:hAnsi="Arial"/>
          <w:sz w:val="16"/>
          <w:szCs w:val="16"/>
          <w:color w:val="auto"/>
        </w:rPr>
        <w:t>The market for long-term incentives has changed significantly over the last several years as companies evolved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long-term incentive grant practices to address several concerns, including the economy, state of the business, share reserves, targeted versus expected economic value and stock price volatility. When establishing grant levels for fiscal 2010, the Compensation &amp; Human Resources Committee, our CEO, our Vice President, Human Resources &amp; Business Development and our Director, Total Rewards and HR Services considered the fiscal 2009 grant levels in terms of the number of units, as well as targeted and expected value of those grants. Although the market continues to be an important reference point for long-term incentives, we believe that it will be important to assess historical grant levels going forward. Additionally, we are submitting for shareholder approval at the 2010 Annual Meeting The Toro Company 2010 Equity and Incentive Plan, which allows for other forms of long-term incentives, including restricted stock. Although it is not anticipated that any grants would be made under this new plan until fiscal 2011, if the plan is approved we will be in a position in the future to re-evaluate the forms of equity-based compensation to award to our CEO, our vice presidents, including the other named executive officers, our general managers and other employees.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Retirement and Health Benefits</w:t>
      </w:r>
    </w:p>
    <w:p>
      <w:pPr>
        <w:spacing w:after="0" w:line="214" w:lineRule="exact"/>
        <w:rPr>
          <w:sz w:val="20"/>
          <w:szCs w:val="20"/>
          <w:color w:val="auto"/>
        </w:rPr>
      </w:pPr>
    </w:p>
    <w:p>
      <w:pPr>
        <w:ind w:firstLine="391"/>
        <w:spacing w:after="0" w:line="241"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executives participate in The Toro Company Investment, Savings &amp; Employee Stock Ownership Plan, or IS&amp;ESOP, the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majority of our United States-based employees participate. This plan includes a standard 401(k) plan with a company match and two other company contributions (an investment savings contribution and an ESOP contribution). The 401(k) portion allows all eligible United States-based employees with 90 consecutive days of service to set aside pre-tax dollars to save for retirement. We currently match $0.50 for each employee dollar contribution, up to an employee maximum of 4%. Employees are eligible to receive the company match on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first of the month following one year of service. In the 401(k) portion, employees whose compensation exceeded a certain level for the prior calendar year are capped at a certain contribution percent. For the investment savings contribution, we historically have contributed 5.5% of an employee's eligible compensation plus 5.5% above the social security taxable wage base into their account and for the ESOP contribution, we historically have contributed 1.5% of eligible compensation into an employee's account each calendar year. Employees are eligible to receive the investment savings and the ESOP contribution on the first of the month following two years of service. During calendar year 2009, we amended the IS&amp;ESOP so that all company contributions, including the company match, the investment savings and the ESOP fund contribution would be defined as discretionary. Although the plan was amended, the calendar year 2009 company contributions will remain the same as in prior years.</w:t>
      </w:r>
    </w:p>
    <w:p>
      <w:pPr>
        <w:spacing w:after="0" w:line="185" w:lineRule="exact"/>
        <w:rPr>
          <w:sz w:val="20"/>
          <w:szCs w:val="20"/>
          <w:color w:val="auto"/>
        </w:rPr>
      </w:pPr>
    </w:p>
    <w:p>
      <w:pPr>
        <w:ind w:right="20" w:firstLine="391"/>
        <w:spacing w:after="0" w:line="236" w:lineRule="auto"/>
        <w:rPr>
          <w:sz w:val="20"/>
          <w:szCs w:val="20"/>
          <w:color w:val="auto"/>
        </w:rPr>
      </w:pPr>
      <w:r>
        <w:rPr>
          <w:rFonts w:ascii="Arial" w:cs="Arial" w:eastAsia="Arial" w:hAnsi="Arial"/>
          <w:sz w:val="18"/>
          <w:szCs w:val="18"/>
          <w:color w:val="auto"/>
        </w:rPr>
        <w:t>Our primary retirement benefits are provided through the IS&amp;ESOP. In addition to the IS&amp;ESOP, we also have The Toro Company Retirement Plan for Office and Hourly Employees, which is a floor offset pension plan that we provide for our United States-based office and hourly employees (excluding our union production employees). Our executives, including our named executive officers, are eligible to participate in this plan. The plan was frozen to new participants in September 2005 and no further benefits are being accrued after December 31, 2009. Messrs. Ramstad and Dordell are not participants in this plan as they were hired after September 2005. Under the plan, a minimum level of benefit is calculated based on earnings and years of service. Separately, a defined contribution offset is calculated based our investment savings and ESOP contributions and, if the defined contribution is greater than the minimum benefit, then there is no benefit due under this plan. As of December 31, 2009, none of our executives, including our named executive officers, were due a benefit under this plan.</w:t>
      </w:r>
    </w:p>
    <w:p>
      <w:pPr>
        <w:spacing w:after="0" w:line="208" w:lineRule="exact"/>
        <w:rPr>
          <w:sz w:val="20"/>
          <w:szCs w:val="20"/>
          <w:color w:val="auto"/>
        </w:rPr>
      </w:pPr>
    </w:p>
    <w:p>
      <w:pPr>
        <w:ind w:right="860" w:firstLine="391"/>
        <w:spacing w:after="0" w:line="239" w:lineRule="auto"/>
        <w:rPr>
          <w:sz w:val="20"/>
          <w:szCs w:val="20"/>
          <w:color w:val="auto"/>
        </w:rPr>
      </w:pPr>
      <w:r>
        <w:rPr>
          <w:rFonts w:ascii="Arial" w:cs="Arial" w:eastAsia="Arial" w:hAnsi="Arial"/>
          <w:sz w:val="18"/>
          <w:szCs w:val="18"/>
          <w:color w:val="auto"/>
        </w:rPr>
        <w:t>Our executives participate in the same health and welfare benefit plans in which our United States-based office salaried employees participate. These plans include medical, dental, life, accidental death and dismemberment and long-term disability.</w:t>
      </w:r>
    </w:p>
    <w:p>
      <w:pPr>
        <w:spacing w:after="0" w:line="189" w:lineRule="exact"/>
        <w:rPr>
          <w:sz w:val="20"/>
          <w:szCs w:val="20"/>
          <w:color w:val="auto"/>
        </w:rPr>
      </w:pPr>
    </w:p>
    <w:p>
      <w:pPr>
        <w:ind w:right="140" w:firstLine="391"/>
        <w:spacing w:after="0" w:line="244" w:lineRule="auto"/>
        <w:rPr>
          <w:sz w:val="20"/>
          <w:szCs w:val="20"/>
          <w:color w:val="auto"/>
        </w:rPr>
      </w:pPr>
      <w:r>
        <w:rPr>
          <w:rFonts w:ascii="Arial" w:cs="Arial" w:eastAsia="Arial" w:hAnsi="Arial"/>
          <w:sz w:val="18"/>
          <w:szCs w:val="18"/>
          <w:b w:val="1"/>
          <w:bCs w:val="1"/>
          <w:i w:val="1"/>
          <w:iCs w:val="1"/>
          <w:color w:val="auto"/>
        </w:rPr>
        <w:t xml:space="preserve">Changes for Fiscal 2010. </w:t>
      </w:r>
      <w:r>
        <w:rPr>
          <w:rFonts w:ascii="Arial" w:cs="Arial" w:eastAsia="Arial" w:hAnsi="Arial"/>
          <w:sz w:val="18"/>
          <w:szCs w:val="18"/>
          <w:color w:val="auto"/>
        </w:rPr>
        <w:t>During fiscal 2009, we worked with an outside health and welfare benefit consultant to evaluate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competitiveness of our life insurance and disability programs and consolidate these benefits with one vendor. As a result, we implemented certain plan design changes to our accidental death and dismemberment and long-term disability benefits for calendar year 2010 (since these plans run on a calendar year rather than fiscal year basis). Those changes are summarized below:</w:t>
      </w:r>
    </w:p>
    <w:p>
      <w:pPr>
        <w:spacing w:after="0" w:line="183" w:lineRule="exact"/>
        <w:rPr>
          <w:sz w:val="20"/>
          <w:szCs w:val="20"/>
          <w:color w:val="auto"/>
        </w:rPr>
      </w:pPr>
    </w:p>
    <w:p>
      <w:pPr>
        <w:spacing w:after="0"/>
        <w:tabs>
          <w:tab w:leader="none" w:pos="4800" w:val="left"/>
          <w:tab w:leader="none" w:pos="8720" w:val="left"/>
        </w:tabs>
        <w:rPr>
          <w:sz w:val="20"/>
          <w:szCs w:val="20"/>
          <w:color w:val="auto"/>
        </w:rPr>
      </w:pPr>
      <w:r>
        <w:rPr>
          <w:rFonts w:ascii="Arial" w:cs="Arial" w:eastAsia="Arial" w:hAnsi="Arial"/>
          <w:sz w:val="18"/>
          <w:szCs w:val="18"/>
          <w:b w:val="1"/>
          <w:bCs w:val="1"/>
          <w:color w:val="auto"/>
        </w:rPr>
        <w:t>Benefit</w:t>
      </w:r>
      <w:r>
        <w:rPr>
          <w:sz w:val="20"/>
          <w:szCs w:val="20"/>
          <w:color w:val="auto"/>
        </w:rPr>
        <w:tab/>
      </w:r>
      <w:r>
        <w:rPr>
          <w:rFonts w:ascii="Arial" w:cs="Arial" w:eastAsia="Arial" w:hAnsi="Arial"/>
          <w:sz w:val="18"/>
          <w:szCs w:val="18"/>
          <w:b w:val="1"/>
          <w:bCs w:val="1"/>
          <w:color w:val="auto"/>
        </w:rPr>
        <w:t>Calendar Year 2009</w:t>
      </w:r>
      <w:r>
        <w:rPr>
          <w:sz w:val="20"/>
          <w:szCs w:val="20"/>
          <w:color w:val="auto"/>
        </w:rPr>
        <w:tab/>
      </w:r>
      <w:r>
        <w:rPr>
          <w:rFonts w:ascii="Arial" w:cs="Arial" w:eastAsia="Arial" w:hAnsi="Arial"/>
          <w:sz w:val="16"/>
          <w:szCs w:val="16"/>
          <w:b w:val="1"/>
          <w:bCs w:val="1"/>
          <w:color w:val="auto"/>
        </w:rPr>
        <w:t>Calendar Year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934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347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w w:val="99"/>
              </w:rPr>
              <w:t>Basic accidental death and dismemberment</w:t>
            </w:r>
          </w:p>
        </w:tc>
        <w:tc>
          <w:tcPr>
            <w:tcW w:w="3720" w:type="dxa"/>
            <w:vAlign w:val="bottom"/>
          </w:tcPr>
          <w:p>
            <w:pPr>
              <w:ind w:left="80"/>
              <w:spacing w:after="0"/>
              <w:rPr>
                <w:sz w:val="20"/>
                <w:szCs w:val="20"/>
                <w:color w:val="auto"/>
              </w:rPr>
            </w:pPr>
            <w:r>
              <w:rPr>
                <w:rFonts w:ascii="Arial" w:cs="Arial" w:eastAsia="Arial" w:hAnsi="Arial"/>
                <w:sz w:val="18"/>
                <w:szCs w:val="18"/>
                <w:color w:val="auto"/>
              </w:rPr>
              <w:t>5X base salary commutation coverage</w:t>
            </w:r>
          </w:p>
        </w:tc>
      </w:tr>
      <w:tr>
        <w:trPr>
          <w:trHeight w:val="203"/>
        </w:trPr>
        <w:tc>
          <w:tcPr>
            <w:tcW w:w="3660" w:type="dxa"/>
            <w:vAlign w:val="bottom"/>
          </w:tcPr>
          <w:p>
            <w:pPr>
              <w:spacing w:after="0"/>
              <w:rPr>
                <w:sz w:val="17"/>
                <w:szCs w:val="17"/>
                <w:color w:val="auto"/>
              </w:rPr>
            </w:pPr>
          </w:p>
        </w:tc>
        <w:tc>
          <w:tcPr>
            <w:tcW w:w="3720" w:type="dxa"/>
            <w:vAlign w:val="bottom"/>
          </w:tcPr>
          <w:p>
            <w:pPr>
              <w:ind w:left="80"/>
              <w:spacing w:after="0" w:line="202" w:lineRule="exact"/>
              <w:rPr>
                <w:sz w:val="20"/>
                <w:szCs w:val="20"/>
                <w:color w:val="auto"/>
              </w:rPr>
            </w:pPr>
            <w:r>
              <w:rPr>
                <w:rFonts w:ascii="Arial" w:cs="Arial" w:eastAsia="Arial" w:hAnsi="Arial"/>
                <w:sz w:val="18"/>
                <w:szCs w:val="18"/>
                <w:color w:val="auto"/>
              </w:rPr>
              <w:t>(coverage to and from work) for eligible</w:t>
            </w:r>
          </w:p>
        </w:tc>
      </w:tr>
      <w:tr>
        <w:trPr>
          <w:trHeight w:val="211"/>
        </w:trPr>
        <w:tc>
          <w:tcPr>
            <w:tcW w:w="366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employees</w:t>
            </w:r>
          </w:p>
        </w:tc>
      </w:tr>
      <w:tr>
        <w:trPr>
          <w:trHeight w:val="397"/>
        </w:trPr>
        <w:tc>
          <w:tcPr>
            <w:tcW w:w="3660" w:type="dxa"/>
            <w:vAlign w:val="bottom"/>
          </w:tcPr>
          <w:p>
            <w:pPr>
              <w:spacing w:after="0"/>
              <w:rPr>
                <w:sz w:val="24"/>
                <w:szCs w:val="24"/>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w w:val="96"/>
              </w:rPr>
              <w:t>24 hour per day coverage for director level and</w:t>
            </w:r>
          </w:p>
        </w:tc>
      </w:tr>
      <w:tr>
        <w:trPr>
          <w:trHeight w:val="203"/>
        </w:trPr>
        <w:tc>
          <w:tcPr>
            <w:tcW w:w="3660" w:type="dxa"/>
            <w:vAlign w:val="bottom"/>
          </w:tcPr>
          <w:p>
            <w:pPr>
              <w:spacing w:after="0"/>
              <w:rPr>
                <w:sz w:val="17"/>
                <w:szCs w:val="17"/>
                <w:color w:val="auto"/>
              </w:rPr>
            </w:pPr>
          </w:p>
        </w:tc>
        <w:tc>
          <w:tcPr>
            <w:tcW w:w="3720" w:type="dxa"/>
            <w:vAlign w:val="bottom"/>
          </w:tcPr>
          <w:p>
            <w:pPr>
              <w:ind w:left="80"/>
              <w:spacing w:after="0" w:line="202" w:lineRule="exact"/>
              <w:rPr>
                <w:sz w:val="20"/>
                <w:szCs w:val="20"/>
                <w:color w:val="auto"/>
              </w:rPr>
            </w:pPr>
            <w:r>
              <w:rPr>
                <w:rFonts w:ascii="Arial" w:cs="Arial" w:eastAsia="Arial" w:hAnsi="Arial"/>
                <w:sz w:val="18"/>
                <w:szCs w:val="18"/>
                <w:color w:val="auto"/>
              </w:rPr>
              <w:t>above employees</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Optional accidental death and</w:t>
            </w:r>
          </w:p>
        </w:tc>
        <w:tc>
          <w:tcPr>
            <w:tcW w:w="3720" w:type="dxa"/>
            <w:vAlign w:val="bottom"/>
          </w:tcPr>
          <w:p>
            <w:pPr>
              <w:ind w:left="80"/>
              <w:spacing w:after="0" w:line="202" w:lineRule="exact"/>
              <w:rPr>
                <w:sz w:val="20"/>
                <w:szCs w:val="20"/>
                <w:color w:val="auto"/>
              </w:rPr>
            </w:pPr>
            <w:r>
              <w:rPr>
                <w:rFonts w:ascii="Arial" w:cs="Arial" w:eastAsia="Arial" w:hAnsi="Arial"/>
                <w:sz w:val="18"/>
                <w:szCs w:val="18"/>
                <w:color w:val="auto"/>
              </w:rPr>
              <w:t>5x base salary coverage 24 hours per day for</w:t>
            </w:r>
          </w:p>
        </w:tc>
      </w:tr>
      <w:tr>
        <w:trPr>
          <w:trHeight w:val="203"/>
        </w:trPr>
        <w:tc>
          <w:tcPr>
            <w:tcW w:w="3660" w:type="dxa"/>
            <w:vAlign w:val="bottom"/>
          </w:tcPr>
          <w:p>
            <w:pPr>
              <w:ind w:left="200"/>
              <w:spacing w:after="0" w:line="202" w:lineRule="exact"/>
              <w:rPr>
                <w:sz w:val="20"/>
                <w:szCs w:val="20"/>
                <w:color w:val="auto"/>
              </w:rPr>
            </w:pPr>
            <w:r>
              <w:rPr>
                <w:rFonts w:ascii="Arial" w:cs="Arial" w:eastAsia="Arial" w:hAnsi="Arial"/>
                <w:sz w:val="18"/>
                <w:szCs w:val="18"/>
                <w:color w:val="auto"/>
              </w:rPr>
              <w:t>dismemberment</w:t>
            </w:r>
          </w:p>
        </w:tc>
        <w:tc>
          <w:tcPr>
            <w:tcW w:w="3720" w:type="dxa"/>
            <w:vAlign w:val="bottom"/>
          </w:tcPr>
          <w:p>
            <w:pPr>
              <w:ind w:left="80"/>
              <w:spacing w:after="0" w:line="202" w:lineRule="exact"/>
              <w:rPr>
                <w:sz w:val="20"/>
                <w:szCs w:val="20"/>
                <w:color w:val="auto"/>
              </w:rPr>
            </w:pPr>
            <w:r>
              <w:rPr>
                <w:rFonts w:ascii="Arial" w:cs="Arial" w:eastAsia="Arial" w:hAnsi="Arial"/>
                <w:sz w:val="18"/>
                <w:szCs w:val="18"/>
                <w:color w:val="auto"/>
              </w:rPr>
              <w:t>eligible employees</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Basic long-term disability</w:t>
            </w:r>
          </w:p>
        </w:tc>
        <w:tc>
          <w:tcPr>
            <w:tcW w:w="3720" w:type="dxa"/>
            <w:vAlign w:val="bottom"/>
          </w:tcPr>
          <w:p>
            <w:pPr>
              <w:ind w:left="80"/>
              <w:spacing w:after="0" w:line="202" w:lineRule="exact"/>
              <w:rPr>
                <w:sz w:val="20"/>
                <w:szCs w:val="20"/>
                <w:color w:val="auto"/>
              </w:rPr>
            </w:pPr>
            <w:r>
              <w:rPr>
                <w:rFonts w:ascii="Arial" w:cs="Arial" w:eastAsia="Arial" w:hAnsi="Arial"/>
                <w:sz w:val="18"/>
                <w:szCs w:val="18"/>
                <w:color w:val="auto"/>
              </w:rPr>
              <w:t>Up to maximum monthly benefit of $600 for</w:t>
            </w:r>
          </w:p>
        </w:tc>
      </w:tr>
      <w:tr>
        <w:trPr>
          <w:trHeight w:val="211"/>
        </w:trPr>
        <w:tc>
          <w:tcPr>
            <w:tcW w:w="366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eligible employees</w:t>
            </w:r>
          </w:p>
        </w:tc>
      </w:tr>
      <w:tr>
        <w:trPr>
          <w:trHeight w:val="419"/>
        </w:trPr>
        <w:tc>
          <w:tcPr>
            <w:tcW w:w="3660" w:type="dxa"/>
            <w:vAlign w:val="bottom"/>
          </w:tcPr>
          <w:p>
            <w:pPr>
              <w:spacing w:after="0"/>
              <w:rPr>
                <w:sz w:val="24"/>
                <w:szCs w:val="24"/>
                <w:color w:val="auto"/>
              </w:rPr>
            </w:pPr>
          </w:p>
        </w:tc>
        <w:tc>
          <w:tcPr>
            <w:tcW w:w="3720" w:type="dxa"/>
            <w:vAlign w:val="bottom"/>
          </w:tcPr>
          <w:p>
            <w:pPr>
              <w:ind w:left="196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1X base salary coverage 24 hours per day for all eligible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1X – 5X base salary coverage 24 hours per day for eligible employees</w:t>
      </w:r>
    </w:p>
    <w:p>
      <w:pPr>
        <w:spacing w:after="0" w:line="2"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60% of monthly base salary up to a maximum monthly benefit of $4,000 for eligible employees</w:t>
      </w:r>
    </w:p>
    <w:p>
      <w:pPr>
        <w:sectPr>
          <w:pgSz w:w="11900" w:h="16838" w:orient="portrait"/>
          <w:cols w:equalWidth="0" w:num="2">
            <w:col w:w="7380" w:space="280"/>
            <w:col w:w="3760"/>
          </w:cols>
          <w:pgMar w:left="240" w:top="143"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Nonqualified Deferred Compensation Plans</w:t>
      </w:r>
    </w:p>
    <w:p>
      <w:pPr>
        <w:spacing w:after="0" w:line="214" w:lineRule="exact"/>
        <w:rPr>
          <w:sz w:val="20"/>
          <w:szCs w:val="20"/>
          <w:color w:val="auto"/>
        </w:rPr>
      </w:pPr>
    </w:p>
    <w:p>
      <w:pPr>
        <w:ind w:right="60" w:firstLine="391"/>
        <w:spacing w:after="0" w:line="262"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named executive officers are eligible for three nonqualified plans: The Toro Company Deferred Compensation Plan, The Toro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Deferred Compensation Plan for Officers and The Toro Company Supplemental Benefit Plan.</w:t>
      </w:r>
    </w:p>
    <w:p>
      <w:pPr>
        <w:spacing w:after="0" w:line="169" w:lineRule="exact"/>
        <w:rPr>
          <w:sz w:val="20"/>
          <w:szCs w:val="20"/>
          <w:color w:val="auto"/>
        </w:rPr>
      </w:pPr>
    </w:p>
    <w:p>
      <w:pPr>
        <w:ind w:right="120" w:firstLine="391"/>
        <w:spacing w:after="0" w:line="239" w:lineRule="auto"/>
        <w:rPr>
          <w:sz w:val="20"/>
          <w:szCs w:val="20"/>
          <w:color w:val="auto"/>
        </w:rPr>
      </w:pPr>
      <w:r>
        <w:rPr>
          <w:rFonts w:ascii="Arial" w:cs="Arial" w:eastAsia="Arial" w:hAnsi="Arial"/>
          <w:sz w:val="18"/>
          <w:szCs w:val="18"/>
          <w:b w:val="1"/>
          <w:bCs w:val="1"/>
          <w:i w:val="1"/>
          <w:iCs w:val="1"/>
          <w:color w:val="auto"/>
        </w:rPr>
        <w:t xml:space="preserve">The Toro Company Deferred Compensation Plan. </w:t>
      </w:r>
      <w:r>
        <w:rPr>
          <w:rFonts w:ascii="Arial" w:cs="Arial" w:eastAsia="Arial" w:hAnsi="Arial"/>
          <w:sz w:val="18"/>
          <w:szCs w:val="18"/>
          <w:color w:val="auto"/>
        </w:rPr>
        <w:t>This plan allows employees that are at a director-level and above to defer pre-tax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year base salary and/or fiscal year AMIP cash bonuses to a date in the future. Participants can defer up to 50% of their calendar year base salary and up to 100% of their AMIP cash bonus. Each year, before the new fiscal year begins, eligible employees are given the opportunity to defer their calendar year base salary and/or fiscal year AMIP bonus. Participants elect the frequency of payments and the number of payments to receive at the time of distribution. Participants must elect a distribution date that is at least two years later than the date the compensation otherwise would have been received. Amounts deferred go into an account and earn interest based on a participant's allocation of funds in the plan. Participants are always 100% vested in their accounts.</w:t>
      </w:r>
    </w:p>
    <w:p>
      <w:pPr>
        <w:spacing w:after="0" w:line="191" w:lineRule="exact"/>
        <w:rPr>
          <w:sz w:val="20"/>
          <w:szCs w:val="20"/>
          <w:color w:val="auto"/>
        </w:rPr>
      </w:pPr>
    </w:p>
    <w:p>
      <w:pPr>
        <w:ind w:firstLine="391"/>
        <w:spacing w:after="0"/>
        <w:rPr>
          <w:sz w:val="20"/>
          <w:szCs w:val="20"/>
          <w:color w:val="auto"/>
        </w:rPr>
      </w:pPr>
      <w:r>
        <w:rPr>
          <w:rFonts w:ascii="Arial" w:cs="Arial" w:eastAsia="Arial" w:hAnsi="Arial"/>
          <w:sz w:val="18"/>
          <w:szCs w:val="18"/>
          <w:b w:val="1"/>
          <w:bCs w:val="1"/>
          <w:i w:val="1"/>
          <w:iCs w:val="1"/>
          <w:color w:val="auto"/>
        </w:rPr>
        <w:t xml:space="preserve">The Toro Company Deferred Compensation Plan for Officers. </w:t>
      </w:r>
      <w:r>
        <w:rPr>
          <w:rFonts w:ascii="Arial" w:cs="Arial" w:eastAsia="Arial" w:hAnsi="Arial"/>
          <w:sz w:val="18"/>
          <w:szCs w:val="18"/>
          <w:color w:val="auto"/>
        </w:rPr>
        <w:t>This plan allows key employees that participate in the Performance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an opportunity to defer receipt of shares of our common stock paid out under the plan to a date in the future. Participants can defer up to 100% of the common stock payout. Each year, before the third fiscal year of the three-year award term begins, executives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Participants are always 100% vested in their accounts.</w:t>
      </w:r>
    </w:p>
    <w:p>
      <w:pPr>
        <w:spacing w:after="0" w:line="190" w:lineRule="exact"/>
        <w:rPr>
          <w:sz w:val="20"/>
          <w:szCs w:val="20"/>
          <w:color w:val="auto"/>
        </w:rPr>
      </w:pPr>
    </w:p>
    <w:p>
      <w:pPr>
        <w:ind w:firstLine="391"/>
        <w:spacing w:after="0"/>
        <w:rPr>
          <w:sz w:val="20"/>
          <w:szCs w:val="20"/>
          <w:color w:val="auto"/>
        </w:rPr>
      </w:pPr>
      <w:r>
        <w:rPr>
          <w:rFonts w:ascii="Arial" w:cs="Arial" w:eastAsia="Arial" w:hAnsi="Arial"/>
          <w:sz w:val="18"/>
          <w:szCs w:val="18"/>
          <w:b w:val="1"/>
          <w:bCs w:val="1"/>
          <w:i w:val="1"/>
          <w:iCs w:val="1"/>
          <w:color w:val="auto"/>
        </w:rPr>
        <w:t xml:space="preserve">The Toro Company Supplemental Benefit Plan. </w:t>
      </w:r>
      <w:r>
        <w:rPr>
          <w:rFonts w:ascii="Arial" w:cs="Arial" w:eastAsia="Arial" w:hAnsi="Arial"/>
          <w:sz w:val="18"/>
          <w:szCs w:val="18"/>
          <w:color w:val="auto"/>
        </w:rPr>
        <w:t>This plan is maintained for the purpose of providing benefits for a select group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or highly compensated employees, in excess of the limitations on benefits and contributions imposed by Sections 401(a)(17) and 415 of the Code. Our contributions to this plan are made on a calendar year basis, usually in the first calendar quarter following the end of the prior calendar year. We contribute the investment savings calculation and the ESOP fund calculation above the compensation limit into this plan. Participants with a balance of less than $25,000 have their accounts distributed in a lump sum. Participants with a balance of greater than $25,000 elect the frequency of payments and the number of payments. Participants are always 100% vested in their accounts.</w:t>
      </w:r>
    </w:p>
    <w:p>
      <w:pPr>
        <w:spacing w:after="0" w:line="190" w:lineRule="exact"/>
        <w:rPr>
          <w:sz w:val="20"/>
          <w:szCs w:val="20"/>
          <w:color w:val="auto"/>
        </w:rPr>
      </w:pPr>
    </w:p>
    <w:p>
      <w:pPr>
        <w:ind w:right="80" w:firstLine="391"/>
        <w:spacing w:after="0" w:line="244" w:lineRule="auto"/>
        <w:rPr>
          <w:sz w:val="20"/>
          <w:szCs w:val="20"/>
          <w:color w:val="auto"/>
        </w:rPr>
      </w:pPr>
      <w:r>
        <w:rPr>
          <w:rFonts w:ascii="Arial" w:cs="Arial" w:eastAsia="Arial" w:hAnsi="Arial"/>
          <w:sz w:val="18"/>
          <w:szCs w:val="18"/>
          <w:b w:val="1"/>
          <w:bCs w:val="1"/>
          <w:i w:val="1"/>
          <w:iCs w:val="1"/>
          <w:color w:val="auto"/>
        </w:rPr>
        <w:t xml:space="preserve">Our Discussion and Analysis. </w:t>
      </w:r>
      <w:r>
        <w:rPr>
          <w:rFonts w:ascii="Arial" w:cs="Arial" w:eastAsia="Arial" w:hAnsi="Arial"/>
          <w:sz w:val="18"/>
          <w:szCs w:val="18"/>
          <w:color w:val="auto"/>
        </w:rPr>
        <w:t>For fiscal 2009, Mr. Dordell elected to defer 10% of his calendar year 2009 base salary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Compensation Plan and 100% of his fiscal 2007 to fiscal 2009 performance share award payout through the Deferred Compensation Plan for Officers. We believe that nonqualified deferred compensation plans are typical in the marketplace and provide a valued retirement vehicle for our eligible employees, including our named executive officers. We review our nonqualified plans on a periodic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Perquisites</w:t>
      </w:r>
    </w:p>
    <w:p>
      <w:pPr>
        <w:spacing w:after="0" w:line="214" w:lineRule="exact"/>
        <w:rPr>
          <w:sz w:val="20"/>
          <w:szCs w:val="20"/>
          <w:color w:val="auto"/>
        </w:rPr>
      </w:pPr>
    </w:p>
    <w:p>
      <w:pPr>
        <w:ind w:right="500" w:firstLine="391"/>
        <w:spacing w:after="0" w:line="262"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our named executive officers and other executives the opportunity to receive certain perquisites. Below is a brief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description of the perquisites provided to our named executive officers in fiscal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Perquisite</w:t>
            </w: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Company-leased</w:t>
            </w:r>
          </w:p>
        </w:tc>
        <w:tc>
          <w:tcPr>
            <w:tcW w:w="988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We pay all costs associated with leasing, operating, maintaining and insuring a company-leased automobile.</w:t>
            </w:r>
          </w:p>
        </w:tc>
      </w:tr>
      <w:tr>
        <w:trPr>
          <w:trHeight w:val="199"/>
        </w:trPr>
        <w:tc>
          <w:tcPr>
            <w:tcW w:w="15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automobile</w:t>
            </w:r>
          </w:p>
        </w:tc>
        <w:tc>
          <w:tcPr>
            <w:tcW w:w="9880" w:type="dxa"/>
            <w:vAlign w:val="bottom"/>
            <w:shd w:val="clear" w:color="auto" w:fill="CCEEFF"/>
          </w:tcPr>
          <w:p>
            <w:pPr>
              <w:spacing w:after="0"/>
              <w:rPr>
                <w:sz w:val="17"/>
                <w:szCs w:val="17"/>
                <w:color w:val="auto"/>
              </w:rPr>
            </w:pPr>
          </w:p>
        </w:tc>
      </w:tr>
      <w:tr>
        <w:trPr>
          <w:trHeight w:val="206"/>
        </w:trPr>
        <w:tc>
          <w:tcPr>
            <w:tcW w:w="1540" w:type="dxa"/>
            <w:vAlign w:val="bottom"/>
          </w:tcPr>
          <w:p>
            <w:pPr>
              <w:spacing w:after="0" w:line="206" w:lineRule="exact"/>
              <w:rPr>
                <w:sz w:val="20"/>
                <w:szCs w:val="20"/>
                <w:color w:val="auto"/>
              </w:rPr>
            </w:pPr>
            <w:r>
              <w:rPr>
                <w:rFonts w:ascii="Arial" w:cs="Arial" w:eastAsia="Arial" w:hAnsi="Arial"/>
                <w:sz w:val="18"/>
                <w:szCs w:val="18"/>
                <w:color w:val="auto"/>
              </w:rPr>
              <w:t>Financial planning</w:t>
            </w:r>
          </w:p>
        </w:tc>
        <w:tc>
          <w:tcPr>
            <w:tcW w:w="9880" w:type="dxa"/>
            <w:vAlign w:val="bottom"/>
          </w:tcPr>
          <w:p>
            <w:pPr>
              <w:ind w:left="80"/>
              <w:spacing w:after="0" w:line="206" w:lineRule="exact"/>
              <w:rPr>
                <w:sz w:val="20"/>
                <w:szCs w:val="20"/>
                <w:color w:val="auto"/>
              </w:rPr>
            </w:pPr>
            <w:r>
              <w:rPr>
                <w:rFonts w:ascii="Arial" w:cs="Arial" w:eastAsia="Arial" w:hAnsi="Arial"/>
                <w:sz w:val="18"/>
                <w:szCs w:val="18"/>
                <w:color w:val="auto"/>
              </w:rPr>
              <w:t>We encourage our executives to receive professional advice regarding their financial planning. Therefore, we pay up to a</w:t>
            </w:r>
          </w:p>
        </w:tc>
      </w:tr>
      <w:tr>
        <w:trPr>
          <w:trHeight w:val="203"/>
        </w:trPr>
        <w:tc>
          <w:tcPr>
            <w:tcW w:w="1540" w:type="dxa"/>
            <w:vAlign w:val="bottom"/>
          </w:tcPr>
          <w:p>
            <w:pPr>
              <w:spacing w:after="0"/>
              <w:rPr>
                <w:sz w:val="17"/>
                <w:szCs w:val="17"/>
                <w:color w:val="auto"/>
              </w:rPr>
            </w:pPr>
          </w:p>
        </w:tc>
        <w:tc>
          <w:tcPr>
            <w:tcW w:w="9880" w:type="dxa"/>
            <w:vAlign w:val="bottom"/>
          </w:tcPr>
          <w:p>
            <w:pPr>
              <w:ind w:left="80"/>
              <w:spacing w:after="0" w:line="202" w:lineRule="exact"/>
              <w:rPr>
                <w:sz w:val="20"/>
                <w:szCs w:val="20"/>
                <w:color w:val="auto"/>
              </w:rPr>
            </w:pPr>
            <w:r>
              <w:rPr>
                <w:rFonts w:ascii="Arial" w:cs="Arial" w:eastAsia="Arial" w:hAnsi="Arial"/>
                <w:sz w:val="18"/>
                <w:szCs w:val="18"/>
                <w:color w:val="auto"/>
              </w:rPr>
              <w:t>maximum defined amount for our CEO and each other named executive officer to cover federal and state tax planning, tax</w:t>
            </w:r>
          </w:p>
        </w:tc>
      </w:tr>
      <w:tr>
        <w:trPr>
          <w:trHeight w:val="203"/>
        </w:trPr>
        <w:tc>
          <w:tcPr>
            <w:tcW w:w="1540" w:type="dxa"/>
            <w:vAlign w:val="bottom"/>
          </w:tcPr>
          <w:p>
            <w:pPr>
              <w:spacing w:after="0"/>
              <w:rPr>
                <w:sz w:val="17"/>
                <w:szCs w:val="17"/>
                <w:color w:val="auto"/>
              </w:rPr>
            </w:pPr>
          </w:p>
        </w:tc>
        <w:tc>
          <w:tcPr>
            <w:tcW w:w="9880" w:type="dxa"/>
            <w:vAlign w:val="bottom"/>
          </w:tcPr>
          <w:p>
            <w:pPr>
              <w:ind w:left="80"/>
              <w:spacing w:after="0" w:line="202" w:lineRule="exact"/>
              <w:rPr>
                <w:sz w:val="20"/>
                <w:szCs w:val="20"/>
                <w:color w:val="auto"/>
              </w:rPr>
            </w:pPr>
            <w:r>
              <w:rPr>
                <w:rFonts w:ascii="Arial" w:cs="Arial" w:eastAsia="Arial" w:hAnsi="Arial"/>
                <w:sz w:val="18"/>
                <w:szCs w:val="18"/>
                <w:color w:val="auto"/>
              </w:rPr>
              <w:t>return preparation, financial counseling and estate planning. Every three years, we will pay an additional 50% of the annual</w:t>
            </w:r>
          </w:p>
        </w:tc>
      </w:tr>
      <w:tr>
        <w:trPr>
          <w:trHeight w:val="199"/>
        </w:trPr>
        <w:tc>
          <w:tcPr>
            <w:tcW w:w="1540" w:type="dxa"/>
            <w:vAlign w:val="bottom"/>
          </w:tcPr>
          <w:p>
            <w:pPr>
              <w:spacing w:after="0"/>
              <w:rPr>
                <w:sz w:val="17"/>
                <w:szCs w:val="17"/>
                <w:color w:val="auto"/>
              </w:rPr>
            </w:pPr>
          </w:p>
        </w:tc>
        <w:tc>
          <w:tcPr>
            <w:tcW w:w="9880" w:type="dxa"/>
            <w:vAlign w:val="bottom"/>
          </w:tcPr>
          <w:p>
            <w:pPr>
              <w:ind w:left="80"/>
              <w:spacing w:after="0" w:line="200" w:lineRule="exact"/>
              <w:rPr>
                <w:sz w:val="20"/>
                <w:szCs w:val="20"/>
                <w:color w:val="auto"/>
              </w:rPr>
            </w:pPr>
            <w:r>
              <w:rPr>
                <w:rFonts w:ascii="Arial" w:cs="Arial" w:eastAsia="Arial" w:hAnsi="Arial"/>
                <w:sz w:val="18"/>
                <w:szCs w:val="18"/>
                <w:color w:val="auto"/>
              </w:rPr>
              <w:t>allowance. The annual allowance ranges from $4,000 for certain executives to $12,000 for our CEO.</w:t>
            </w:r>
          </w:p>
        </w:tc>
      </w:tr>
      <w:tr>
        <w:trPr>
          <w:trHeight w:val="206"/>
        </w:trPr>
        <w:tc>
          <w:tcPr>
            <w:tcW w:w="1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Annual executive</w:t>
            </w:r>
          </w:p>
        </w:tc>
        <w:tc>
          <w:tcPr>
            <w:tcW w:w="988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To help further ensure the health of our named executive officers and other executives, we generally pay up to $1,000 for</w:t>
            </w:r>
          </w:p>
        </w:tc>
      </w:tr>
      <w:tr>
        <w:trPr>
          <w:trHeight w:val="199"/>
        </w:trPr>
        <w:tc>
          <w:tcPr>
            <w:tcW w:w="15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physical</w:t>
            </w:r>
          </w:p>
        </w:tc>
        <w:tc>
          <w:tcPr>
            <w:tcW w:w="988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approved physical exam expenses not covered by insurance.</w:t>
            </w:r>
          </w:p>
        </w:tc>
      </w:tr>
      <w:tr>
        <w:trPr>
          <w:trHeight w:val="206"/>
        </w:trPr>
        <w:tc>
          <w:tcPr>
            <w:tcW w:w="1540" w:type="dxa"/>
            <w:vAlign w:val="bottom"/>
          </w:tcPr>
          <w:p>
            <w:pPr>
              <w:spacing w:after="0" w:line="206" w:lineRule="exact"/>
              <w:rPr>
                <w:sz w:val="20"/>
                <w:szCs w:val="20"/>
                <w:color w:val="auto"/>
              </w:rPr>
            </w:pPr>
            <w:r>
              <w:rPr>
                <w:rFonts w:ascii="Arial" w:cs="Arial" w:eastAsia="Arial" w:hAnsi="Arial"/>
                <w:sz w:val="18"/>
                <w:szCs w:val="18"/>
                <w:color w:val="auto"/>
              </w:rPr>
              <w:t>Company</w:t>
            </w:r>
          </w:p>
        </w:tc>
        <w:tc>
          <w:tcPr>
            <w:tcW w:w="9880" w:type="dxa"/>
            <w:vAlign w:val="bottom"/>
          </w:tcPr>
          <w:p>
            <w:pPr>
              <w:ind w:left="80"/>
              <w:spacing w:after="0" w:line="206" w:lineRule="exact"/>
              <w:rPr>
                <w:sz w:val="20"/>
                <w:szCs w:val="20"/>
                <w:color w:val="auto"/>
              </w:rPr>
            </w:pPr>
            <w:r>
              <w:rPr>
                <w:rFonts w:ascii="Arial" w:cs="Arial" w:eastAsia="Arial" w:hAnsi="Arial"/>
                <w:sz w:val="18"/>
                <w:szCs w:val="18"/>
                <w:color w:val="auto"/>
                <w:w w:val="99"/>
              </w:rPr>
              <w:t>To enable our executives, including our named executive officers, the opportunity to become more familiar with our products</w:t>
            </w:r>
          </w:p>
        </w:tc>
      </w:tr>
      <w:tr>
        <w:trPr>
          <w:trHeight w:val="203"/>
        </w:trPr>
        <w:tc>
          <w:tcPr>
            <w:tcW w:w="1540" w:type="dxa"/>
            <w:vAlign w:val="bottom"/>
          </w:tcPr>
          <w:p>
            <w:pPr>
              <w:ind w:left="200"/>
              <w:spacing w:after="0" w:line="202" w:lineRule="exact"/>
              <w:rPr>
                <w:sz w:val="20"/>
                <w:szCs w:val="20"/>
                <w:color w:val="auto"/>
              </w:rPr>
            </w:pPr>
            <w:r>
              <w:rPr>
                <w:rFonts w:ascii="Arial" w:cs="Arial" w:eastAsia="Arial" w:hAnsi="Arial"/>
                <w:sz w:val="18"/>
                <w:szCs w:val="18"/>
                <w:color w:val="auto"/>
              </w:rPr>
              <w:t>products</w:t>
            </w:r>
          </w:p>
        </w:tc>
        <w:tc>
          <w:tcPr>
            <w:tcW w:w="9880" w:type="dxa"/>
            <w:vAlign w:val="bottom"/>
          </w:tcPr>
          <w:p>
            <w:pPr>
              <w:ind w:left="80"/>
              <w:spacing w:after="0" w:line="202" w:lineRule="exact"/>
              <w:rPr>
                <w:sz w:val="20"/>
                <w:szCs w:val="20"/>
                <w:color w:val="auto"/>
              </w:rPr>
            </w:pPr>
            <w:r>
              <w:rPr>
                <w:rFonts w:ascii="Arial" w:cs="Arial" w:eastAsia="Arial" w:hAnsi="Arial"/>
                <w:sz w:val="18"/>
                <w:szCs w:val="18"/>
                <w:color w:val="auto"/>
                <w:w w:val="98"/>
              </w:rPr>
              <w:t>and use those products on a regular basis, we provide certain company products at no cost. These products generally can be</w:t>
            </w:r>
          </w:p>
        </w:tc>
      </w:tr>
      <w:tr>
        <w:trPr>
          <w:trHeight w:val="199"/>
        </w:trPr>
        <w:tc>
          <w:tcPr>
            <w:tcW w:w="1540" w:type="dxa"/>
            <w:vAlign w:val="bottom"/>
          </w:tcPr>
          <w:p>
            <w:pPr>
              <w:spacing w:after="0"/>
              <w:rPr>
                <w:sz w:val="17"/>
                <w:szCs w:val="17"/>
                <w:color w:val="auto"/>
              </w:rPr>
            </w:pPr>
          </w:p>
        </w:tc>
        <w:tc>
          <w:tcPr>
            <w:tcW w:w="9880" w:type="dxa"/>
            <w:vAlign w:val="bottom"/>
          </w:tcPr>
          <w:p>
            <w:pPr>
              <w:ind w:left="80"/>
              <w:spacing w:after="0" w:line="200" w:lineRule="exact"/>
              <w:rPr>
                <w:sz w:val="20"/>
                <w:szCs w:val="20"/>
                <w:color w:val="auto"/>
              </w:rPr>
            </w:pPr>
            <w:r>
              <w:rPr>
                <w:rFonts w:ascii="Arial" w:cs="Arial" w:eastAsia="Arial" w:hAnsi="Arial"/>
                <w:sz w:val="18"/>
                <w:szCs w:val="18"/>
                <w:color w:val="auto"/>
              </w:rPr>
              <w:t>replaced by the executive every two to four years.</w:t>
            </w:r>
          </w:p>
        </w:tc>
      </w:tr>
      <w:tr>
        <w:trPr>
          <w:trHeight w:val="206"/>
        </w:trPr>
        <w:tc>
          <w:tcPr>
            <w:tcW w:w="1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Accidental</w:t>
            </w:r>
          </w:p>
        </w:tc>
        <w:tc>
          <w:tcPr>
            <w:tcW w:w="988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Under our accidental death and dismemberment plan, all of our eligible employees receive company-paid, work-related</w:t>
            </w:r>
          </w:p>
        </w:tc>
      </w:tr>
      <w:tr>
        <w:trPr>
          <w:trHeight w:val="203"/>
        </w:trPr>
        <w:tc>
          <w:tcPr>
            <w:tcW w:w="1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death &amp;</w:t>
            </w:r>
          </w:p>
        </w:tc>
        <w:tc>
          <w:tcPr>
            <w:tcW w:w="9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accidental death and dismemberment insurance equal to five times base pay up to a maximum of $500,000. Eligible</w:t>
            </w:r>
          </w:p>
        </w:tc>
      </w:tr>
      <w:tr>
        <w:trPr>
          <w:trHeight w:val="203"/>
        </w:trPr>
        <w:tc>
          <w:tcPr>
            <w:tcW w:w="1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dismemberment</w:t>
            </w:r>
          </w:p>
        </w:tc>
        <w:tc>
          <w:tcPr>
            <w:tcW w:w="9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employees can purchase optional 24-hour coverage. We provide, to all our director level employees and above, this 24-hour</w:t>
            </w:r>
          </w:p>
        </w:tc>
      </w:tr>
      <w:tr>
        <w:trPr>
          <w:trHeight w:val="199"/>
        </w:trPr>
        <w:tc>
          <w:tcPr>
            <w:tcW w:w="1540" w:type="dxa"/>
            <w:vAlign w:val="bottom"/>
            <w:shd w:val="clear" w:color="auto" w:fill="CCEEFF"/>
          </w:tcPr>
          <w:p>
            <w:pPr>
              <w:spacing w:after="0"/>
              <w:rPr>
                <w:sz w:val="17"/>
                <w:szCs w:val="17"/>
                <w:color w:val="auto"/>
              </w:rPr>
            </w:pPr>
          </w:p>
        </w:tc>
        <w:tc>
          <w:tcPr>
            <w:tcW w:w="988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rPr>
              <w:t>coverage at no cost equal to five times base pay up to a maximum of $4,000,000.</w:t>
            </w:r>
          </w:p>
        </w:tc>
      </w:tr>
      <w:tr>
        <w:trPr>
          <w:trHeight w:val="206"/>
        </w:trPr>
        <w:tc>
          <w:tcPr>
            <w:tcW w:w="1540" w:type="dxa"/>
            <w:vAlign w:val="bottom"/>
          </w:tcPr>
          <w:p>
            <w:pPr>
              <w:spacing w:after="0" w:line="206" w:lineRule="exact"/>
              <w:rPr>
                <w:sz w:val="20"/>
                <w:szCs w:val="20"/>
                <w:color w:val="auto"/>
              </w:rPr>
            </w:pPr>
            <w:r>
              <w:rPr>
                <w:rFonts w:ascii="Arial" w:cs="Arial" w:eastAsia="Arial" w:hAnsi="Arial"/>
                <w:sz w:val="18"/>
                <w:szCs w:val="18"/>
                <w:color w:val="auto"/>
              </w:rPr>
              <w:t>Vacation</w:t>
            </w:r>
          </w:p>
        </w:tc>
        <w:tc>
          <w:tcPr>
            <w:tcW w:w="9880" w:type="dxa"/>
            <w:vAlign w:val="bottom"/>
          </w:tcPr>
          <w:p>
            <w:pPr>
              <w:ind w:left="80"/>
              <w:spacing w:after="0" w:line="206" w:lineRule="exact"/>
              <w:rPr>
                <w:sz w:val="20"/>
                <w:szCs w:val="20"/>
                <w:color w:val="auto"/>
              </w:rPr>
            </w:pPr>
            <w:r>
              <w:rPr>
                <w:rFonts w:ascii="Arial" w:cs="Arial" w:eastAsia="Arial" w:hAnsi="Arial"/>
                <w:sz w:val="18"/>
                <w:szCs w:val="18"/>
                <w:color w:val="auto"/>
              </w:rPr>
              <w:t>We provide our newly hired executives with two additional weeks of vacation, as compared to that provided to newly hired</w:t>
            </w:r>
          </w:p>
        </w:tc>
      </w:tr>
      <w:tr>
        <w:trPr>
          <w:trHeight w:val="203"/>
        </w:trPr>
        <w:tc>
          <w:tcPr>
            <w:tcW w:w="1540" w:type="dxa"/>
            <w:vAlign w:val="bottom"/>
          </w:tcPr>
          <w:p>
            <w:pPr>
              <w:spacing w:after="0"/>
              <w:rPr>
                <w:sz w:val="17"/>
                <w:szCs w:val="17"/>
                <w:color w:val="auto"/>
              </w:rPr>
            </w:pPr>
          </w:p>
        </w:tc>
        <w:tc>
          <w:tcPr>
            <w:tcW w:w="9880" w:type="dxa"/>
            <w:vAlign w:val="bottom"/>
          </w:tcPr>
          <w:p>
            <w:pPr>
              <w:ind w:left="80"/>
              <w:spacing w:after="0" w:line="202" w:lineRule="exact"/>
              <w:rPr>
                <w:sz w:val="20"/>
                <w:szCs w:val="20"/>
                <w:color w:val="auto"/>
              </w:rPr>
            </w:pPr>
            <w:r>
              <w:rPr>
                <w:rFonts w:ascii="Arial" w:cs="Arial" w:eastAsia="Arial" w:hAnsi="Arial"/>
                <w:sz w:val="18"/>
                <w:szCs w:val="18"/>
                <w:color w:val="auto"/>
                <w:w w:val="98"/>
              </w:rPr>
              <w:t>United States-based office salaried employees. After five years of service, United States-based office salaried employees are</w:t>
            </w:r>
          </w:p>
        </w:tc>
      </w:tr>
      <w:tr>
        <w:trPr>
          <w:trHeight w:val="211"/>
        </w:trPr>
        <w:tc>
          <w:tcPr>
            <w:tcW w:w="154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entitled to an additional week of vacation and the differential between executives and employees is one week.</w:t>
            </w:r>
          </w:p>
        </w:tc>
      </w:tr>
    </w:tbl>
    <w:p>
      <w:pPr>
        <w:spacing w:after="0" w:line="208" w:lineRule="exact"/>
        <w:rPr>
          <w:sz w:val="20"/>
          <w:szCs w:val="20"/>
          <w:color w:val="auto"/>
        </w:rPr>
      </w:pPr>
    </w:p>
    <w:p>
      <w:pPr>
        <w:ind w:right="160" w:firstLine="387"/>
        <w:spacing w:after="0" w:line="239" w:lineRule="auto"/>
        <w:rPr>
          <w:sz w:val="20"/>
          <w:szCs w:val="20"/>
          <w:color w:val="auto"/>
        </w:rPr>
      </w:pPr>
      <w:r>
        <w:rPr>
          <w:rFonts w:ascii="Arial" w:cs="Arial" w:eastAsia="Arial" w:hAnsi="Arial"/>
          <w:sz w:val="18"/>
          <w:szCs w:val="18"/>
          <w:color w:val="auto"/>
        </w:rPr>
        <w:t>The value of the perquisites provided to our named executive officers for fiscal 2009 can be found in the "Summary Compensation Table" on page 50, in the "All Other Compensation" column and related footnote.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60" w:firstLine="391"/>
        <w:spacing w:after="0" w:line="238" w:lineRule="auto"/>
        <w:rPr>
          <w:sz w:val="20"/>
          <w:szCs w:val="20"/>
          <w:color w:val="auto"/>
        </w:rPr>
      </w:pPr>
      <w:r>
        <w:rPr>
          <w:rFonts w:ascii="Arial" w:cs="Arial" w:eastAsia="Arial" w:hAnsi="Arial"/>
          <w:sz w:val="18"/>
          <w:szCs w:val="18"/>
          <w:b w:val="1"/>
          <w:bCs w:val="1"/>
          <w:i w:val="1"/>
          <w:iCs w:val="1"/>
          <w:color w:val="auto"/>
        </w:rPr>
        <w:t xml:space="preserve">Our Discussion and Analysis. </w:t>
      </w:r>
      <w:r>
        <w:rPr>
          <w:rFonts w:ascii="Arial" w:cs="Arial" w:eastAsia="Arial" w:hAnsi="Arial"/>
          <w:sz w:val="18"/>
          <w:szCs w:val="18"/>
          <w:color w:val="auto"/>
        </w:rPr>
        <w:t>We provide perquisites to help attract and retain highly qualified and talented executives in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fact that similar perquisites are provided at other companies with which we compete for executive talent. We believe that the perquisites provided to our named executive officers and other executives are consistent with perquisites provided at other companies and are an important part of our executive compensation program. We evaluate all of our perquisites on a periodic basis. In fiscal 2009, as part of the process of evaluating all of the retirement and health benefits, we decided to eliminate the additional accidental death and dismemberment coverage for our director-level employees and above (benefit of receiving 24 hour coverage versus commutation coverage), including our named executive officers. Effective for calendar year 2010, all United States-based office salaried employees will be eligible for the same basic benefit and will have the opportunity to purchase additional coverage.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Ownership Guidelines</w:t>
      </w:r>
    </w:p>
    <w:p>
      <w:pPr>
        <w:spacing w:after="0" w:line="234"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color w:val="auto"/>
        </w:rPr>
        <w:t>We adopted stock ownership guidelines approximately 10 years ago to encourage our executives to accumulate and retain our common stock. Our guidelines require five times base salary for our CEO and range from two to three times base salary for other executives, including our named executive officers. We recommend that executives reach their guideline in five years. Based on our evaluation as of October 31, 2009, each of our named executive officers with five years of service is in compliance with the established guidelines. We review compliance with the ownership guidelines on a periodic basis.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Deductibility of Compensation</w:t>
      </w:r>
    </w:p>
    <w:p>
      <w:pPr>
        <w:spacing w:after="0" w:line="234" w:lineRule="exact"/>
        <w:rPr>
          <w:sz w:val="20"/>
          <w:szCs w:val="20"/>
          <w:color w:val="auto"/>
        </w:rPr>
      </w:pPr>
    </w:p>
    <w:p>
      <w:pPr>
        <w:ind w:right="300" w:firstLine="391"/>
        <w:spacing w:after="0" w:line="238" w:lineRule="auto"/>
        <w:rPr>
          <w:sz w:val="20"/>
          <w:szCs w:val="20"/>
          <w:color w:val="auto"/>
        </w:rPr>
      </w:pPr>
      <w:r>
        <w:rPr>
          <w:rFonts w:ascii="Arial" w:cs="Arial" w:eastAsia="Arial" w:hAnsi="Arial"/>
          <w:sz w:val="18"/>
          <w:szCs w:val="18"/>
          <w:color w:val="auto"/>
        </w:rPr>
        <w:t>Our compensation plans, including the AMIP, the 2000 Stock Option Plan and the PSP, have been structured with the intention that annual cash incentive payouts, options and performance share award payouts awarded under these plans can be qualified as performance-based compensation, which is tax deductible to us under Section 162(m) of the Code.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 of Control and Post-Termination Severance Arrangements</w:t>
      </w:r>
    </w:p>
    <w:p>
      <w:pPr>
        <w:spacing w:after="0" w:line="214" w:lineRule="exact"/>
        <w:rPr>
          <w:sz w:val="20"/>
          <w:szCs w:val="20"/>
          <w:color w:val="auto"/>
        </w:rPr>
      </w:pPr>
    </w:p>
    <w:p>
      <w:pPr>
        <w:ind w:right="200" w:firstLine="391"/>
        <w:spacing w:after="0" w:line="24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only post-termination severance arrangements that we have with certain of our executives, including our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in connection with a change of control situation. If we experience a change of control, whether or not there is a qualifying termination of employment:</w:t>
      </w:r>
    </w:p>
    <w:p>
      <w:pPr>
        <w:spacing w:after="0" w:line="202" w:lineRule="exact"/>
        <w:rPr>
          <w:sz w:val="20"/>
          <w:szCs w:val="20"/>
          <w:color w:val="auto"/>
        </w:rPr>
      </w:pPr>
    </w:p>
    <w:p>
      <w:pPr>
        <w:ind w:left="1080" w:right="160" w:hanging="532"/>
        <w:spacing w:after="0" w:line="23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change of control employment agreements with our executives, including our named executive officers, become effective, requiring us to provide certain benefits to our executives during the three-year period following the change of control, including a minimum base salary and annual bonus, or in connection with a termination occurring during the three-year period after the change of control or, in certain instances, before the change of control;</w:t>
      </w:r>
    </w:p>
    <w:p>
      <w:pPr>
        <w:spacing w:after="0" w:line="208"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options immediately vest, become exercisable in full and remain exercisable for three years following the change of control (but not later than the date the options expire);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400" w:hanging="532"/>
        <w:spacing w:after="0" w:line="23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outstanding performance share awards for award terms in progress at the time of the change of control become immediately payable at maximum in shares of our common stock.</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change of control employment agreements that we have with certain of our executives, including our named executive officers, more specifically provide that if during the three-year period after a change of control, or if before the change of control in anticipation of the change of control or at the request of a third party who took actions to cause the change of control, an executive's employment is terminated by us other than for "cause," or if the executive terminates his or her employment for "good reason," the executive is entitled to receive:</w:t>
      </w:r>
    </w:p>
    <w:p>
      <w:pPr>
        <w:spacing w:after="0" w:line="222" w:lineRule="exact"/>
        <w:rPr>
          <w:sz w:val="20"/>
          <w:szCs w:val="20"/>
          <w:color w:val="auto"/>
        </w:rPr>
      </w:pPr>
    </w:p>
    <w:p>
      <w:pPr>
        <w:ind w:left="1080" w:right="40" w:hanging="532"/>
        <w:spacing w:after="0" w:line="23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severance payment equal to three times the sum of the current annual base salary and highest annual bonus (which is the greater of the most recent fiscal year annual bonus paid to the executive or the highest annual bonus paid to the executive during the last three fiscal years);</w:t>
      </w:r>
    </w:p>
    <w:p>
      <w:pPr>
        <w:spacing w:after="0" w:line="194"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payment equal to the amount that would have been received under our retirement plans had the executive remained employed by us for an additional three years;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benefits under our welfare benefit plans for the executive and family for a period of three additional years;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outplacement services; and</w:t>
      </w:r>
    </w:p>
    <w:p>
      <w:pPr>
        <w:spacing w:after="0" w:line="198"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additional payment, or "gross-up," in the event an excise tax is imposed on payments under the agreement, so that after the payment of all taxes, including income and excise taxes, the executive will be in the same after-tax position as if no excise tax under applicable federal or state tax laws had been imposed.</w:t>
      </w:r>
    </w:p>
    <w:p>
      <w:pPr>
        <w:spacing w:after="0" w:line="188" w:lineRule="exact"/>
        <w:rPr>
          <w:sz w:val="20"/>
          <w:szCs w:val="20"/>
          <w:color w:val="auto"/>
        </w:rPr>
      </w:pPr>
    </w:p>
    <w:p>
      <w:pPr>
        <w:ind w:right="220" w:firstLine="391"/>
        <w:spacing w:after="0"/>
        <w:rPr>
          <w:sz w:val="20"/>
          <w:szCs w:val="20"/>
          <w:color w:val="auto"/>
        </w:rPr>
      </w:pPr>
      <w:r>
        <w:rPr>
          <w:rFonts w:ascii="Arial" w:cs="Arial" w:eastAsia="Arial" w:hAnsi="Arial"/>
          <w:sz w:val="18"/>
          <w:szCs w:val="18"/>
          <w:b w:val="1"/>
          <w:bCs w:val="1"/>
          <w:i w:val="1"/>
          <w:iCs w:val="1"/>
          <w:color w:val="auto"/>
        </w:rPr>
        <w:t xml:space="preserve">Our Discussion and Analysis. </w:t>
      </w:r>
      <w:r>
        <w:rPr>
          <w:rFonts w:ascii="Arial" w:cs="Arial" w:eastAsia="Arial" w:hAnsi="Arial"/>
          <w:sz w:val="18"/>
          <w:szCs w:val="18"/>
          <w:color w:val="auto"/>
        </w:rPr>
        <w:t>We believe that such change of control arrangements are in the best interests of our Company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assure that we will have the continued dedication of our executives, notwithstanding the possibility, threat or occurrence of a change of control. We also believe that we must offer such change of control arrangements in order to remain competitive because similar protections typically are provided by other companies with which we compete for executive talent. The specific terms of these arrangements, as well as an estimate of the compensation that would have been payable had they been triggered as of October 31, 2009, our fiscal year-end, are described under the heading "Potential Payments Upon Termination or Change of Control" beginning on page 58.</w:t>
      </w:r>
    </w:p>
    <w:p>
      <w:pPr>
        <w:spacing w:after="0" w:line="210" w:lineRule="exact"/>
        <w:rPr>
          <w:sz w:val="20"/>
          <w:szCs w:val="20"/>
          <w:color w:val="auto"/>
        </w:rPr>
      </w:pPr>
    </w:p>
    <w:p>
      <w:pPr>
        <w:ind w:right="80" w:firstLine="391"/>
        <w:spacing w:after="0" w:line="236" w:lineRule="auto"/>
        <w:rPr>
          <w:sz w:val="20"/>
          <w:szCs w:val="20"/>
          <w:color w:val="auto"/>
        </w:rPr>
      </w:pPr>
      <w:r>
        <w:rPr>
          <w:rFonts w:ascii="Arial" w:cs="Arial" w:eastAsia="Arial" w:hAnsi="Arial"/>
          <w:sz w:val="18"/>
          <w:szCs w:val="18"/>
          <w:color w:val="auto"/>
        </w:rPr>
        <w:t>More specifically, we believe that the change of control provisions in our option, performance share and deferred compensation plans and related agreements described above which are triggered by the change of control itself and are not dependent upon any qualifying termination of employment event, and thus known as "single trigger" change of control arrangements, are important because they provide retention incentives during what often can be an uncertain time for executives and provide executives with additional monetary motivation to complete a transaction that the Board believes is in the best interests of Toro and our shareholders. If an executive were to leave voluntarily prior to the completion of the change of control, any unvested options or performance share awards held by the executive would terminate.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ind w:right="120" w:firstLine="387"/>
        <w:spacing w:after="0" w:line="237" w:lineRule="auto"/>
        <w:rPr>
          <w:sz w:val="20"/>
          <w:szCs w:val="20"/>
          <w:color w:val="auto"/>
        </w:rPr>
      </w:pPr>
      <w:r>
        <w:rPr>
          <w:rFonts w:ascii="Arial" w:cs="Arial" w:eastAsia="Arial" w:hAnsi="Arial"/>
          <w:sz w:val="18"/>
          <w:szCs w:val="18"/>
          <w:color w:val="auto"/>
        </w:rPr>
        <w:t>The following table shows compensation for our Chairman, President and CEO, Vice President, Finance and CFO and for each of the other three most highly compensated executive officers. We collectively refer to the executives listed in this table as our "named executive officers." Mr. Dordell was not a named executive officer in fiscal 2007 and Mr. Brown was not a named executive officer in fiscal 2007 or fiscal 2008 and, therefore, information on their compensation for those fiscal years is not included.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Value and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08"/>
              <w:spacing w:after="0"/>
              <w:rPr>
                <w:sz w:val="20"/>
                <w:szCs w:val="20"/>
                <w:color w:val="auto"/>
              </w:rPr>
            </w:pPr>
            <w:r>
              <w:rPr>
                <w:rFonts w:ascii="Arial" w:cs="Arial" w:eastAsia="Arial" w:hAnsi="Arial"/>
                <w:sz w:val="14"/>
                <w:szCs w:val="14"/>
                <w:b w:val="1"/>
                <w:bCs w:val="1"/>
                <w:color w:val="auto"/>
              </w:rPr>
              <w:t>Non-Equity</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208"/>
              <w:spacing w:after="0"/>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gridSpan w:val="2"/>
          </w:tcPr>
          <w:p>
            <w:pPr>
              <w:ind w:left="1140"/>
              <w:spacing w:after="0"/>
              <w:rPr>
                <w:sz w:val="20"/>
                <w:szCs w:val="20"/>
                <w:color w:val="auto"/>
              </w:rPr>
            </w:pPr>
            <w:r>
              <w:rPr>
                <w:rFonts w:ascii="Arial" w:cs="Arial" w:eastAsia="Arial" w:hAnsi="Arial"/>
                <w:sz w:val="14"/>
                <w:szCs w:val="14"/>
                <w:b w:val="1"/>
                <w:bCs w:val="1"/>
                <w:color w:val="auto"/>
              </w:rPr>
              <w:t>Name and</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40" w:type="dxa"/>
            <w:vAlign w:val="bottom"/>
          </w:tcPr>
          <w:p>
            <w:pPr>
              <w:jc w:val="center"/>
              <w:ind w:right="228"/>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140" w:type="dxa"/>
            <w:vAlign w:val="bottom"/>
          </w:tcPr>
          <w:p>
            <w:pPr>
              <w:jc w:val="center"/>
              <w:ind w:right="208"/>
              <w:spacing w:after="0"/>
              <w:rPr>
                <w:sz w:val="20"/>
                <w:szCs w:val="20"/>
                <w:color w:val="auto"/>
              </w:rPr>
            </w:pPr>
            <w:r>
              <w:rPr>
                <w:rFonts w:ascii="Arial" w:cs="Arial" w:eastAsia="Arial" w:hAnsi="Arial"/>
                <w:sz w:val="14"/>
                <w:szCs w:val="14"/>
                <w:b w:val="1"/>
                <w:bCs w:val="1"/>
                <w:color w:val="auto"/>
              </w:rPr>
              <w:t>Plan</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40" w:type="dxa"/>
            <w:vAlign w:val="bottom"/>
            <w:gridSpan w:val="2"/>
          </w:tcPr>
          <w:p>
            <w:pPr>
              <w:ind w:left="1140"/>
              <w:spacing w:after="0"/>
              <w:rPr>
                <w:sz w:val="20"/>
                <w:szCs w:val="20"/>
                <w:color w:val="auto"/>
              </w:rPr>
            </w:pPr>
            <w:r>
              <w:rPr>
                <w:rFonts w:ascii="Arial" w:cs="Arial" w:eastAsia="Arial" w:hAnsi="Arial"/>
                <w:sz w:val="14"/>
                <w:szCs w:val="14"/>
                <w:b w:val="1"/>
                <w:bCs w:val="1"/>
                <w:color w:val="auto"/>
              </w:rPr>
              <w:t>Principal</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Fiscal</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5"/>
                <w:szCs w:val="15"/>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Bonus</w:t>
            </w:r>
          </w:p>
        </w:tc>
        <w:tc>
          <w:tcPr>
            <w:tcW w:w="880" w:type="dxa"/>
            <w:vAlign w:val="bottom"/>
            <w:gridSpan w:val="2"/>
          </w:tcPr>
          <w:p>
            <w:pPr>
              <w:ind w:left="20"/>
              <w:spacing w:after="0" w:line="17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0"/>
                <w:szCs w:val="20"/>
                <w:b w:val="1"/>
                <w:bCs w:val="1"/>
                <w:color w:val="auto"/>
                <w:vertAlign w:val="superscript"/>
              </w:rPr>
              <w:t>(1)</w:t>
            </w:r>
          </w:p>
        </w:tc>
        <w:tc>
          <w:tcPr>
            <w:tcW w:w="940" w:type="dxa"/>
            <w:vAlign w:val="bottom"/>
            <w:gridSpan w:val="2"/>
          </w:tcPr>
          <w:p>
            <w:pPr>
              <w:jc w:val="center"/>
              <w:ind w:right="128"/>
              <w:spacing w:after="0" w:line="179" w:lineRule="exact"/>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20"/>
                <w:szCs w:val="20"/>
                <w:b w:val="1"/>
                <w:bCs w:val="1"/>
                <w:color w:val="auto"/>
                <w:w w:val="98"/>
                <w:vertAlign w:val="superscript"/>
              </w:rPr>
              <w:t>(2)</w:t>
            </w:r>
          </w:p>
        </w:tc>
        <w:tc>
          <w:tcPr>
            <w:tcW w:w="1280" w:type="dxa"/>
            <w:vAlign w:val="bottom"/>
            <w:gridSpan w:val="2"/>
          </w:tcPr>
          <w:p>
            <w:pPr>
              <w:spacing w:after="0" w:line="17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0"/>
                <w:szCs w:val="20"/>
                <w:b w:val="1"/>
                <w:bCs w:val="1"/>
                <w:color w:val="auto"/>
                <w:vertAlign w:val="superscript"/>
              </w:rPr>
              <w:t>(3)</w:t>
            </w:r>
          </w:p>
        </w:tc>
        <w:tc>
          <w:tcPr>
            <w:tcW w:w="120" w:type="dxa"/>
            <w:vAlign w:val="bottom"/>
          </w:tcPr>
          <w:p>
            <w:pPr>
              <w:spacing w:after="0"/>
              <w:rPr>
                <w:sz w:val="15"/>
                <w:szCs w:val="15"/>
                <w:color w:val="auto"/>
              </w:rPr>
            </w:pPr>
          </w:p>
        </w:tc>
        <w:tc>
          <w:tcPr>
            <w:tcW w:w="940" w:type="dxa"/>
            <w:vAlign w:val="bottom"/>
          </w:tcPr>
          <w:p>
            <w:pPr>
              <w:jc w:val="center"/>
              <w:ind w:right="88"/>
              <w:spacing w:after="0" w:line="179" w:lineRule="exact"/>
              <w:rPr>
                <w:sz w:val="20"/>
                <w:szCs w:val="20"/>
                <w:color w:val="auto"/>
              </w:rPr>
            </w:pPr>
            <w:r>
              <w:rPr>
                <w:rFonts w:ascii="Arial" w:cs="Arial" w:eastAsia="Arial" w:hAnsi="Arial"/>
                <w:sz w:val="14"/>
                <w:szCs w:val="14"/>
                <w:b w:val="1"/>
                <w:bCs w:val="1"/>
                <w:color w:val="auto"/>
                <w:w w:val="97"/>
              </w:rPr>
              <w:t>Earnings</w:t>
            </w:r>
            <w:r>
              <w:rPr>
                <w:rFonts w:ascii="Arial" w:cs="Arial" w:eastAsia="Arial" w:hAnsi="Arial"/>
                <w:sz w:val="20"/>
                <w:szCs w:val="20"/>
                <w:b w:val="1"/>
                <w:bCs w:val="1"/>
                <w:color w:val="auto"/>
                <w:w w:val="97"/>
                <w:vertAlign w:val="superscript"/>
              </w:rPr>
              <w:t>(4)</w:t>
            </w:r>
          </w:p>
        </w:tc>
        <w:tc>
          <w:tcPr>
            <w:tcW w:w="1200" w:type="dxa"/>
            <w:vAlign w:val="bottom"/>
            <w:gridSpan w:val="2"/>
          </w:tcPr>
          <w:p>
            <w:pPr>
              <w:ind w:left="20"/>
              <w:spacing w:after="0" w:line="17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0"/>
                <w:szCs w:val="20"/>
                <w:b w:val="1"/>
                <w:bCs w:val="1"/>
                <w:color w:val="auto"/>
                <w:vertAlign w:val="superscript"/>
              </w:rPr>
              <w:t>(5)</w:t>
            </w:r>
          </w:p>
        </w:tc>
        <w:tc>
          <w:tcPr>
            <w:tcW w:w="12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140"/>
              <w:spacing w:after="0"/>
              <w:rPr>
                <w:sz w:val="20"/>
                <w:szCs w:val="20"/>
                <w:color w:val="auto"/>
              </w:rPr>
            </w:pPr>
            <w:r>
              <w:rPr>
                <w:rFonts w:ascii="Arial" w:cs="Arial" w:eastAsia="Arial" w:hAnsi="Arial"/>
                <w:sz w:val="14"/>
                <w:szCs w:val="14"/>
                <w:b w:val="1"/>
                <w:bCs w:val="1"/>
                <w:color w:val="auto"/>
              </w:rPr>
              <w:t>Position</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760" w:type="dxa"/>
            <w:vAlign w:val="bottom"/>
          </w:tcPr>
          <w:p>
            <w:pPr>
              <w:jc w:val="right"/>
              <w:ind w:right="3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center"/>
              <w:ind w:right="2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40" w:type="dxa"/>
            <w:vAlign w:val="bottom"/>
          </w:tcPr>
          <w:p>
            <w:pPr>
              <w:jc w:val="center"/>
              <w:ind w:right="2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Michael J.</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8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$ 766,665</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297,942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873,242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2,077,470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Hoffman</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$ 825,110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404,016</w:t>
            </w:r>
          </w:p>
        </w:tc>
        <w:tc>
          <w:tcPr>
            <w:tcW w:w="9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97"/>
              </w:rPr>
              <w:t>$ 1,046,824</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381,531</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195,214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2,852,695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Chairman,</w:t>
            </w:r>
          </w:p>
        </w:tc>
        <w:tc>
          <w:tcPr>
            <w:tcW w:w="4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President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$ 750,100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817,764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960,713</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570,076</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2,669</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3,311,945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and CEO</w:t>
            </w: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1140"/>
              <w:spacing w:after="0"/>
              <w:rPr>
                <w:sz w:val="20"/>
                <w:szCs w:val="20"/>
                <w:color w:val="auto"/>
              </w:rPr>
            </w:pPr>
            <w:r>
              <w:rPr>
                <w:rFonts w:ascii="Arial" w:cs="Arial" w:eastAsia="Arial" w:hAnsi="Arial"/>
                <w:sz w:val="14"/>
                <w:szCs w:val="14"/>
                <w:color w:val="auto"/>
              </w:rPr>
              <w:t>Stephen P.</w:t>
            </w:r>
          </w:p>
        </w:tc>
        <w:tc>
          <w:tcPr>
            <w:tcW w:w="480" w:type="dxa"/>
            <w:vAlign w:val="bottom"/>
          </w:tcPr>
          <w:p>
            <w:pPr>
              <w:jc w:val="right"/>
              <w:spacing w:after="0"/>
              <w:rPr>
                <w:sz w:val="20"/>
                <w:szCs w:val="20"/>
                <w:color w:val="auto"/>
              </w:rPr>
            </w:pPr>
            <w:r>
              <w:rPr>
                <w:rFonts w:ascii="Arial" w:cs="Arial" w:eastAsia="Arial" w:hAnsi="Arial"/>
                <w:sz w:val="14"/>
                <w:szCs w:val="14"/>
                <w:color w:val="auto"/>
              </w:rPr>
              <w:t>2009</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$ 375,755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79,967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187,308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80,276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723,306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2"/>
          </w:tcPr>
          <w:p>
            <w:pPr>
              <w:ind w:left="1140"/>
              <w:spacing w:after="0"/>
              <w:rPr>
                <w:sz w:val="20"/>
                <w:szCs w:val="20"/>
                <w:color w:val="auto"/>
              </w:rPr>
            </w:pPr>
            <w:r>
              <w:rPr>
                <w:rFonts w:ascii="Arial" w:cs="Arial" w:eastAsia="Arial" w:hAnsi="Arial"/>
                <w:sz w:val="14"/>
                <w:szCs w:val="14"/>
                <w:color w:val="auto"/>
              </w:rPr>
              <w:t>Wolfe</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Vice</w:t>
            </w:r>
          </w:p>
        </w:tc>
        <w:tc>
          <w:tcPr>
            <w:tcW w:w="480" w:type="dxa"/>
            <w:vAlign w:val="bottom"/>
          </w:tcPr>
          <w:p>
            <w:pPr>
              <w:jc w:val="right"/>
              <w:spacing w:after="0"/>
              <w:rPr>
                <w:sz w:val="20"/>
                <w:szCs w:val="20"/>
                <w:color w:val="auto"/>
              </w:rPr>
            </w:pPr>
            <w:r>
              <w:rPr>
                <w:rFonts w:ascii="Arial" w:cs="Arial" w:eastAsia="Arial" w:hAnsi="Arial"/>
                <w:sz w:val="14"/>
                <w:szCs w:val="14"/>
                <w:color w:val="auto"/>
              </w:rPr>
              <w:t>2008</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$ 404,400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122,336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293,016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142,996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101,705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1,064,453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President,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219,532</w:t>
            </w:r>
            <w:r>
              <w:rPr>
                <w:rFonts w:ascii="Arial" w:cs="Arial" w:eastAsia="Arial" w:hAnsi="Arial"/>
                <w:sz w:val="21"/>
                <w:szCs w:val="21"/>
                <w:color w:val="auto"/>
                <w:vertAlign w:val="superscript"/>
              </w:rPr>
              <w:t>(6)</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Finance and</w:t>
            </w:r>
          </w:p>
        </w:tc>
        <w:tc>
          <w:tcPr>
            <w:tcW w:w="480" w:type="dxa"/>
            <w:vAlign w:val="bottom"/>
          </w:tcPr>
          <w:p>
            <w:pPr>
              <w:jc w:val="right"/>
              <w:spacing w:after="0"/>
              <w:rPr>
                <w:sz w:val="20"/>
                <w:szCs w:val="20"/>
                <w:color w:val="auto"/>
              </w:rPr>
            </w:pPr>
            <w:r>
              <w:rPr>
                <w:rFonts w:ascii="Arial" w:cs="Arial" w:eastAsia="Arial" w:hAnsi="Arial"/>
                <w:sz w:val="14"/>
                <w:szCs w:val="14"/>
                <w:color w:val="auto"/>
              </w:rPr>
              <w:t>2007</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$ 385,143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302,778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330,033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vMerge w:val="continue"/>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5,540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137,085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1,380,111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CFO</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Peter M.</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$ 304,553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46,648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144,839</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88,285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584,325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Ramstad</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8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$ 313,500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88,577</w:t>
            </w:r>
            <w:r>
              <w:rPr>
                <w:rFonts w:ascii="Arial" w:cs="Arial" w:eastAsia="Arial" w:hAnsi="Arial"/>
                <w:sz w:val="21"/>
                <w:szCs w:val="21"/>
                <w:color w:val="auto"/>
                <w:vertAlign w:val="superscript"/>
              </w:rPr>
              <w:t>(7)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160,419</w:t>
            </w:r>
            <w:r>
              <w:rPr>
                <w:rFonts w:ascii="Arial" w:cs="Arial" w:eastAsia="Arial" w:hAnsi="Arial"/>
                <w:sz w:val="21"/>
                <w:szCs w:val="21"/>
                <w:color w:val="auto"/>
                <w:vertAlign w:val="superscript"/>
              </w:rPr>
              <w:t>(8)</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85,272</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40,880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688,648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Vice</w:t>
            </w:r>
          </w:p>
        </w:tc>
        <w:tc>
          <w:tcPr>
            <w:tcW w:w="48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President,</w:t>
            </w:r>
          </w:p>
        </w:tc>
        <w:tc>
          <w:tcPr>
            <w:tcW w:w="48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$ 279,545</w:t>
            </w:r>
            <w:r>
              <w:rPr>
                <w:rFonts w:ascii="Arial" w:cs="Arial" w:eastAsia="Arial" w:hAnsi="Arial"/>
                <w:sz w:val="21"/>
                <w:szCs w:val="21"/>
                <w:color w:val="auto"/>
                <w:vertAlign w:val="superscript"/>
              </w:rPr>
              <w:t>(9)</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192,500</w:t>
            </w:r>
            <w:r>
              <w:rPr>
                <w:rFonts w:ascii="Arial" w:cs="Arial" w:eastAsia="Arial" w:hAnsi="Arial"/>
                <w:sz w:val="21"/>
                <w:szCs w:val="21"/>
                <w:color w:val="auto"/>
                <w:w w:val="95"/>
                <w:vertAlign w:val="superscript"/>
              </w:rPr>
              <w:t>(10)</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87,742</w:t>
            </w:r>
            <w:r>
              <w:rPr>
                <w:rFonts w:ascii="Arial" w:cs="Arial" w:eastAsia="Arial" w:hAnsi="Arial"/>
                <w:sz w:val="21"/>
                <w:szCs w:val="21"/>
                <w:color w:val="auto"/>
                <w:vertAlign w:val="superscript"/>
              </w:rPr>
              <w:t>(11)</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138,452</w:t>
            </w:r>
            <w:r>
              <w:rPr>
                <w:rFonts w:ascii="Arial" w:cs="Arial" w:eastAsia="Arial" w:hAnsi="Arial"/>
                <w:sz w:val="21"/>
                <w:szCs w:val="21"/>
                <w:color w:val="auto"/>
                <w:vertAlign w:val="superscript"/>
              </w:rPr>
              <w:t>(12)</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Human</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119,505</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860,476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Resources</w:t>
            </w: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Development</w:t>
            </w: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1140"/>
              <w:spacing w:after="0"/>
              <w:rPr>
                <w:sz w:val="20"/>
                <w:szCs w:val="20"/>
                <w:color w:val="auto"/>
              </w:rPr>
            </w:pPr>
            <w:r>
              <w:rPr>
                <w:rFonts w:ascii="Arial" w:cs="Arial" w:eastAsia="Arial" w:hAnsi="Arial"/>
                <w:sz w:val="14"/>
                <w:szCs w:val="14"/>
                <w:color w:val="auto"/>
              </w:rPr>
              <w:t>Timothy P.</w:t>
            </w:r>
          </w:p>
        </w:tc>
        <w:tc>
          <w:tcPr>
            <w:tcW w:w="480" w:type="dxa"/>
            <w:vAlign w:val="bottom"/>
          </w:tcPr>
          <w:p>
            <w:pPr>
              <w:jc w:val="right"/>
              <w:spacing w:after="0"/>
              <w:rPr>
                <w:sz w:val="20"/>
                <w:szCs w:val="20"/>
                <w:color w:val="auto"/>
              </w:rPr>
            </w:pPr>
            <w:r>
              <w:rPr>
                <w:rFonts w:ascii="Arial" w:cs="Arial" w:eastAsia="Arial" w:hAnsi="Arial"/>
                <w:sz w:val="14"/>
                <w:szCs w:val="14"/>
                <w:color w:val="auto"/>
              </w:rPr>
              <w:t>2009</w:t>
            </w:r>
          </w:p>
        </w:tc>
        <w:tc>
          <w:tcPr>
            <w:tcW w:w="860" w:type="dxa"/>
            <w:vAlign w:val="bottom"/>
            <w:gridSpan w:val="2"/>
          </w:tcPr>
          <w:p>
            <w:pPr>
              <w:ind w:left="40"/>
              <w:spacing w:after="0" w:line="167" w:lineRule="exact"/>
              <w:rPr>
                <w:sz w:val="20"/>
                <w:szCs w:val="20"/>
                <w:color w:val="auto"/>
              </w:rPr>
            </w:pPr>
            <w:r>
              <w:rPr>
                <w:rFonts w:ascii="Arial" w:cs="Arial" w:eastAsia="Arial" w:hAnsi="Arial"/>
                <w:sz w:val="13"/>
                <w:szCs w:val="13"/>
                <w:color w:val="auto"/>
                <w:w w:val="99"/>
              </w:rPr>
              <w:t>$ 288,157</w:t>
            </w:r>
            <w:r>
              <w:rPr>
                <w:rFonts w:ascii="Arial" w:cs="Arial" w:eastAsia="Arial" w:hAnsi="Arial"/>
                <w:sz w:val="19"/>
                <w:szCs w:val="19"/>
                <w:color w:val="auto"/>
                <w:w w:val="99"/>
                <w:vertAlign w:val="superscript"/>
              </w:rPr>
              <w:t>(13)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52,655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150,570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65,969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557,351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gridSpan w:val="2"/>
          </w:tcPr>
          <w:p>
            <w:pPr>
              <w:ind w:left="1140"/>
              <w:spacing w:after="0"/>
              <w:rPr>
                <w:sz w:val="20"/>
                <w:szCs w:val="20"/>
                <w:color w:val="auto"/>
              </w:rPr>
            </w:pPr>
            <w:r>
              <w:rPr>
                <w:rFonts w:ascii="Arial" w:cs="Arial" w:eastAsia="Arial" w:hAnsi="Arial"/>
                <w:sz w:val="14"/>
                <w:szCs w:val="14"/>
                <w:color w:val="auto"/>
              </w:rPr>
              <w:t>Dordell</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99,258</w:t>
            </w:r>
            <w:r>
              <w:rPr>
                <w:rFonts w:ascii="Arial" w:cs="Arial" w:eastAsia="Arial" w:hAnsi="Arial"/>
                <w:sz w:val="21"/>
                <w:szCs w:val="21"/>
                <w:color w:val="auto"/>
                <w:vertAlign w:val="superscript"/>
              </w:rPr>
              <w:t>(14)</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162,756</w:t>
            </w:r>
            <w:r>
              <w:rPr>
                <w:rFonts w:ascii="Arial" w:cs="Arial" w:eastAsia="Arial" w:hAnsi="Arial"/>
                <w:sz w:val="21"/>
                <w:szCs w:val="21"/>
                <w:color w:val="auto"/>
                <w:vertAlign w:val="superscript"/>
              </w:rPr>
              <w:t>(15)</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Vice</w:t>
            </w:r>
          </w:p>
        </w:tc>
        <w:tc>
          <w:tcPr>
            <w:tcW w:w="480" w:type="dxa"/>
            <w:vAlign w:val="bottom"/>
          </w:tcPr>
          <w:p>
            <w:pPr>
              <w:jc w:val="right"/>
              <w:spacing w:after="0"/>
              <w:rPr>
                <w:sz w:val="20"/>
                <w:szCs w:val="20"/>
                <w:color w:val="auto"/>
              </w:rPr>
            </w:pPr>
            <w:r>
              <w:rPr>
                <w:rFonts w:ascii="Arial" w:cs="Arial" w:eastAsia="Arial" w:hAnsi="Arial"/>
                <w:sz w:val="14"/>
                <w:szCs w:val="14"/>
                <w:color w:val="auto"/>
              </w:rPr>
              <w:t>2008</w:t>
            </w: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$ 270,698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73,630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649,364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President,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Secretary</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and General</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tcPr>
          <w:p>
            <w:pPr>
              <w:ind w:left="20"/>
              <w:spacing w:after="0" w:line="157" w:lineRule="exact"/>
              <w:rPr>
                <w:sz w:val="20"/>
                <w:szCs w:val="20"/>
                <w:color w:val="auto"/>
              </w:rPr>
            </w:pPr>
            <w:r>
              <w:rPr>
                <w:rFonts w:ascii="Arial" w:cs="Arial" w:eastAsia="Arial" w:hAnsi="Arial"/>
                <w:sz w:val="14"/>
                <w:szCs w:val="14"/>
                <w:color w:val="auto"/>
              </w:rPr>
              <w:t>Counsel</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William 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$ 252,573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29,388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86,768</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101,029</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64,093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533,851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Brown, Jr.</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Vice</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Landscape</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Contractor</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8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Businesses</w:t>
            </w: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right="180" w:hanging="532"/>
        <w:spacing w:after="0" w:line="239"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reported represents the dollar amount of performance share awards recognized in the relevant fiscal year for financial statement reporting purposes.</w:t>
      </w:r>
    </w:p>
    <w:p>
      <w:pPr>
        <w:spacing w:after="0" w:line="208" w:lineRule="exact"/>
        <w:rPr>
          <w:rFonts w:ascii="Arial" w:cs="Arial" w:eastAsia="Arial" w:hAnsi="Arial"/>
          <w:sz w:val="18"/>
          <w:szCs w:val="18"/>
          <w:color w:val="auto"/>
        </w:rPr>
      </w:pPr>
    </w:p>
    <w:p>
      <w:pPr>
        <w:ind w:left="540" w:hanging="532"/>
        <w:spacing w:after="0" w:line="23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reported represents the share-based compensation expense recognized in the relevant fiscal year for financial statement reporting purposes for options granted in fiscal 2007, fiscal 2008 and fiscal 2009 and previously granted options that vested in such fiscal year. Compensation expense equal to the grant date fair value of the options is recognized over the vesting period. The specific assumptions used in the valuation of the options granted to each of the named executive officers are summarized in the table below.</w:t>
      </w:r>
    </w:p>
    <w:p>
      <w:pPr>
        <w:spacing w:after="0" w:line="192"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jc w:val="center"/>
              <w:ind w:right="177"/>
              <w:spacing w:after="0"/>
              <w:rPr>
                <w:sz w:val="20"/>
                <w:szCs w:val="20"/>
                <w:color w:val="auto"/>
              </w:rPr>
            </w:pPr>
            <w:r>
              <w:rPr>
                <w:rFonts w:ascii="Arial" w:cs="Arial" w:eastAsia="Arial" w:hAnsi="Arial"/>
                <w:sz w:val="14"/>
                <w:szCs w:val="14"/>
                <w:b w:val="1"/>
                <w:bCs w:val="1"/>
                <w:color w:val="auto"/>
              </w:rPr>
              <w:t>Expected</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jc w:val="right"/>
              <w:ind w:right="456"/>
              <w:spacing w:after="0"/>
              <w:rPr>
                <w:sz w:val="20"/>
                <w:szCs w:val="20"/>
                <w:color w:val="auto"/>
              </w:rPr>
            </w:pPr>
            <w:r>
              <w:rPr>
                <w:rFonts w:ascii="Arial" w:cs="Arial" w:eastAsia="Arial" w:hAnsi="Arial"/>
                <w:sz w:val="14"/>
                <w:szCs w:val="14"/>
                <w:b w:val="1"/>
                <w:bCs w:val="1"/>
                <w:color w:val="auto"/>
              </w:rPr>
              <w:t>Risk Free</w:t>
            </w:r>
          </w:p>
        </w:tc>
        <w:tc>
          <w:tcPr>
            <w:tcW w:w="1480" w:type="dxa"/>
            <w:vAlign w:val="bottom"/>
          </w:tcPr>
          <w:p>
            <w:pPr>
              <w:ind w:left="340"/>
              <w:spacing w:after="0"/>
              <w:rPr>
                <w:sz w:val="20"/>
                <w:szCs w:val="20"/>
                <w:color w:val="auto"/>
              </w:rPr>
            </w:pPr>
            <w:r>
              <w:rPr>
                <w:rFonts w:ascii="Arial" w:cs="Arial" w:eastAsia="Arial" w:hAnsi="Arial"/>
                <w:sz w:val="14"/>
                <w:szCs w:val="14"/>
                <w:b w:val="1"/>
                <w:bCs w:val="1"/>
                <w:color w:val="auto"/>
              </w:rPr>
              <w:t>Expected</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Expected</w:t>
            </w:r>
          </w:p>
        </w:tc>
        <w:tc>
          <w:tcPr>
            <w:tcW w:w="1620" w:type="dxa"/>
            <w:vAlign w:val="bottom"/>
          </w:tcPr>
          <w:p>
            <w:pPr>
              <w:jc w:val="center"/>
              <w:ind w:right="157"/>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tcPr>
          <w:p>
            <w:pPr>
              <w:ind w:left="280"/>
              <w:spacing w:after="0"/>
              <w:rPr>
                <w:sz w:val="20"/>
                <w:szCs w:val="20"/>
                <w:color w:val="auto"/>
              </w:rPr>
            </w:pPr>
            <w:r>
              <w:rPr>
                <w:rFonts w:ascii="Arial" w:cs="Arial" w:eastAsia="Arial" w:hAnsi="Arial"/>
                <w:sz w:val="14"/>
                <w:szCs w:val="14"/>
                <w:b w:val="1"/>
                <w:bCs w:val="1"/>
                <w:color w:val="auto"/>
              </w:rPr>
              <w:t>Black-Scholes</w:t>
            </w:r>
          </w:p>
        </w:tc>
      </w:tr>
      <w:tr>
        <w:trPr>
          <w:trHeight w:val="196"/>
        </w:trPr>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Grant Date</w:t>
            </w:r>
          </w:p>
        </w:tc>
        <w:tc>
          <w:tcPr>
            <w:tcW w:w="1600" w:type="dxa"/>
            <w:vAlign w:val="bottom"/>
          </w:tcPr>
          <w:p>
            <w:pPr>
              <w:jc w:val="right"/>
              <w:ind w:right="616"/>
              <w:spacing w:after="0"/>
              <w:rPr>
                <w:sz w:val="20"/>
                <w:szCs w:val="20"/>
                <w:color w:val="auto"/>
              </w:rPr>
            </w:pPr>
            <w:r>
              <w:rPr>
                <w:rFonts w:ascii="Arial" w:cs="Arial" w:eastAsia="Arial" w:hAnsi="Arial"/>
                <w:sz w:val="14"/>
                <w:szCs w:val="14"/>
                <w:b w:val="1"/>
                <w:bCs w:val="1"/>
                <w:color w:val="auto"/>
              </w:rPr>
              <w:t>Rate</w:t>
            </w: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Life</w:t>
            </w:r>
          </w:p>
        </w:tc>
        <w:tc>
          <w:tcPr>
            <w:tcW w:w="1580" w:type="dxa"/>
            <w:vAlign w:val="bottom"/>
          </w:tcPr>
          <w:p>
            <w:pPr>
              <w:jc w:val="right"/>
              <w:ind w:right="496"/>
              <w:spacing w:after="0"/>
              <w:rPr>
                <w:sz w:val="20"/>
                <w:szCs w:val="20"/>
                <w:color w:val="auto"/>
              </w:rPr>
            </w:pPr>
            <w:r>
              <w:rPr>
                <w:rFonts w:ascii="Arial" w:cs="Arial" w:eastAsia="Arial" w:hAnsi="Arial"/>
                <w:sz w:val="14"/>
                <w:szCs w:val="14"/>
                <w:b w:val="1"/>
                <w:bCs w:val="1"/>
                <w:color w:val="auto"/>
              </w:rPr>
              <w:t>Volatility</w:t>
            </w:r>
          </w:p>
        </w:tc>
        <w:tc>
          <w:tcPr>
            <w:tcW w:w="1620" w:type="dxa"/>
            <w:vAlign w:val="bottom"/>
          </w:tcPr>
          <w:p>
            <w:pPr>
              <w:jc w:val="center"/>
              <w:ind w:right="157"/>
              <w:spacing w:after="0"/>
              <w:rPr>
                <w:sz w:val="20"/>
                <w:szCs w:val="20"/>
                <w:color w:val="auto"/>
              </w:rPr>
            </w:pPr>
            <w:r>
              <w:rPr>
                <w:rFonts w:ascii="Arial" w:cs="Arial" w:eastAsia="Arial" w:hAnsi="Arial"/>
                <w:sz w:val="14"/>
                <w:szCs w:val="14"/>
                <w:b w:val="1"/>
                <w:bCs w:val="1"/>
                <w:color w:val="auto"/>
              </w:rPr>
              <w:t>Yield</w:t>
            </w:r>
          </w:p>
        </w:tc>
        <w:tc>
          <w:tcPr>
            <w:tcW w:w="4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20"/>
        </w:trPr>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1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12/03/08</w:t>
            </w:r>
          </w:p>
        </w:tc>
        <w:tc>
          <w:tcPr>
            <w:tcW w:w="160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2.26%</w:t>
            </w:r>
          </w:p>
        </w:tc>
        <w:tc>
          <w:tcPr>
            <w:tcW w:w="1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6.0 years</w:t>
            </w:r>
          </w:p>
        </w:tc>
        <w:tc>
          <w:tcPr>
            <w:tcW w:w="158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30.60%</w:t>
            </w:r>
          </w:p>
        </w:tc>
        <w:tc>
          <w:tcPr>
            <w:tcW w:w="162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1.81%</w:t>
            </w:r>
          </w:p>
        </w:tc>
        <w:tc>
          <w:tcPr>
            <w:tcW w:w="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7"/>
                <w:szCs w:val="17"/>
                <w:color w:val="auto"/>
              </w:rPr>
            </w:pPr>
          </w:p>
        </w:tc>
      </w:tr>
      <w:tr>
        <w:trPr>
          <w:trHeight w:val="203"/>
        </w:trPr>
        <w:tc>
          <w:tcPr>
            <w:tcW w:w="14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11/28/07</w:t>
            </w:r>
          </w:p>
        </w:tc>
        <w:tc>
          <w:tcPr>
            <w:tcW w:w="160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3.72%</w:t>
            </w:r>
          </w:p>
        </w:tc>
        <w:tc>
          <w:tcPr>
            <w:tcW w:w="1480" w:type="dxa"/>
            <w:vAlign w:val="bottom"/>
          </w:tcPr>
          <w:p>
            <w:pPr>
              <w:ind w:left="380"/>
              <w:spacing w:after="0" w:line="202" w:lineRule="exact"/>
              <w:rPr>
                <w:sz w:val="20"/>
                <w:szCs w:val="20"/>
                <w:color w:val="auto"/>
              </w:rPr>
            </w:pPr>
            <w:r>
              <w:rPr>
                <w:rFonts w:ascii="Arial" w:cs="Arial" w:eastAsia="Arial" w:hAnsi="Arial"/>
                <w:sz w:val="18"/>
                <w:szCs w:val="18"/>
                <w:color w:val="auto"/>
              </w:rPr>
              <w:t>6.5 years</w:t>
            </w:r>
          </w:p>
        </w:tc>
        <w:tc>
          <w:tcPr>
            <w:tcW w:w="158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25.61%</w:t>
            </w:r>
          </w:p>
        </w:tc>
        <w:tc>
          <w:tcPr>
            <w:tcW w:w="16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0.92%</w:t>
            </w:r>
          </w:p>
        </w:tc>
        <w:tc>
          <w:tcPr>
            <w:tcW w:w="48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160" w:type="dxa"/>
            <w:vAlign w:val="bottom"/>
          </w:tcPr>
          <w:p>
            <w:pPr>
              <w:spacing w:after="0"/>
              <w:rPr>
                <w:sz w:val="17"/>
                <w:szCs w:val="17"/>
                <w:color w:val="auto"/>
              </w:rPr>
            </w:pPr>
          </w:p>
        </w:tc>
      </w:tr>
      <w:tr>
        <w:trPr>
          <w:trHeight w:val="203"/>
        </w:trPr>
        <w:tc>
          <w:tcPr>
            <w:tcW w:w="1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11/30/06</w:t>
            </w:r>
          </w:p>
        </w:tc>
        <w:tc>
          <w:tcPr>
            <w:tcW w:w="160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4.42%</w:t>
            </w:r>
          </w:p>
        </w:tc>
        <w:tc>
          <w:tcPr>
            <w:tcW w:w="1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6.5 years</w:t>
            </w:r>
          </w:p>
        </w:tc>
        <w:tc>
          <w:tcPr>
            <w:tcW w:w="158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26.28%</w:t>
            </w:r>
          </w:p>
        </w:tc>
        <w:tc>
          <w:tcPr>
            <w:tcW w:w="162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0.78%</w:t>
            </w:r>
          </w:p>
        </w:tc>
        <w:tc>
          <w:tcPr>
            <w:tcW w:w="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7"/>
                <w:szCs w:val="17"/>
                <w:color w:val="auto"/>
              </w:rPr>
            </w:pPr>
          </w:p>
        </w:tc>
      </w:tr>
      <w:tr>
        <w:trPr>
          <w:trHeight w:val="203"/>
        </w:trPr>
        <w:tc>
          <w:tcPr>
            <w:tcW w:w="144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11/30/05</w:t>
            </w:r>
          </w:p>
        </w:tc>
        <w:tc>
          <w:tcPr>
            <w:tcW w:w="160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4.46%</w:t>
            </w:r>
          </w:p>
        </w:tc>
        <w:tc>
          <w:tcPr>
            <w:tcW w:w="1480" w:type="dxa"/>
            <w:vAlign w:val="bottom"/>
          </w:tcPr>
          <w:p>
            <w:pPr>
              <w:ind w:left="380"/>
              <w:spacing w:after="0" w:line="202" w:lineRule="exact"/>
              <w:rPr>
                <w:sz w:val="20"/>
                <w:szCs w:val="20"/>
                <w:color w:val="auto"/>
              </w:rPr>
            </w:pPr>
            <w:r>
              <w:rPr>
                <w:rFonts w:ascii="Arial" w:cs="Arial" w:eastAsia="Arial" w:hAnsi="Arial"/>
                <w:sz w:val="18"/>
                <w:szCs w:val="18"/>
                <w:color w:val="auto"/>
              </w:rPr>
              <w:t>6.5 years</w:t>
            </w:r>
          </w:p>
        </w:tc>
        <w:tc>
          <w:tcPr>
            <w:tcW w:w="158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26.96%</w:t>
            </w:r>
          </w:p>
        </w:tc>
        <w:tc>
          <w:tcPr>
            <w:tcW w:w="162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0.65%</w:t>
            </w:r>
          </w:p>
        </w:tc>
        <w:tc>
          <w:tcPr>
            <w:tcW w:w="48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13.95</w:t>
            </w:r>
          </w:p>
        </w:tc>
        <w:tc>
          <w:tcPr>
            <w:tcW w:w="160" w:type="dxa"/>
            <w:vAlign w:val="bottom"/>
          </w:tcPr>
          <w:p>
            <w:pPr>
              <w:spacing w:after="0"/>
              <w:rPr>
                <w:sz w:val="17"/>
                <w:szCs w:val="17"/>
                <w:color w:val="auto"/>
              </w:rPr>
            </w:pPr>
          </w:p>
        </w:tc>
      </w:tr>
      <w:tr>
        <w:trPr>
          <w:trHeight w:val="203"/>
        </w:trPr>
        <w:tc>
          <w:tcPr>
            <w:tcW w:w="1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12/02/04</w:t>
            </w:r>
          </w:p>
        </w:tc>
        <w:tc>
          <w:tcPr>
            <w:tcW w:w="160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4.04%</w:t>
            </w:r>
          </w:p>
        </w:tc>
        <w:tc>
          <w:tcPr>
            <w:tcW w:w="14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7.0 years</w:t>
            </w:r>
          </w:p>
        </w:tc>
        <w:tc>
          <w:tcPr>
            <w:tcW w:w="1580" w:type="dxa"/>
            <w:vAlign w:val="bottom"/>
            <w:shd w:val="clear" w:color="auto" w:fill="CCEEFF"/>
          </w:tcPr>
          <w:p>
            <w:pPr>
              <w:jc w:val="right"/>
              <w:ind w:right="276"/>
              <w:spacing w:after="0" w:line="202" w:lineRule="exact"/>
              <w:rPr>
                <w:sz w:val="20"/>
                <w:szCs w:val="20"/>
                <w:color w:val="auto"/>
              </w:rPr>
            </w:pPr>
            <w:r>
              <w:rPr>
                <w:rFonts w:ascii="Arial" w:cs="Arial" w:eastAsia="Arial" w:hAnsi="Arial"/>
                <w:sz w:val="18"/>
                <w:szCs w:val="18"/>
                <w:color w:val="auto"/>
              </w:rPr>
              <w:t>30.41%</w:t>
            </w:r>
          </w:p>
        </w:tc>
        <w:tc>
          <w:tcPr>
            <w:tcW w:w="162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0.18%</w:t>
            </w:r>
          </w:p>
        </w:tc>
        <w:tc>
          <w:tcPr>
            <w:tcW w:w="4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14.88</w:t>
            </w:r>
          </w:p>
        </w:tc>
        <w:tc>
          <w:tcPr>
            <w:tcW w:w="160" w:type="dxa"/>
            <w:vAlign w:val="bottom"/>
            <w:shd w:val="clear" w:color="auto" w:fill="CCEEFF"/>
          </w:tcPr>
          <w:p>
            <w:pPr>
              <w:spacing w:after="0"/>
              <w:rPr>
                <w:sz w:val="17"/>
                <w:szCs w:val="17"/>
                <w:color w:val="auto"/>
              </w:rPr>
            </w:pPr>
          </w:p>
        </w:tc>
      </w:tr>
      <w:tr>
        <w:trPr>
          <w:trHeight w:val="214"/>
        </w:trPr>
        <w:tc>
          <w:tcPr>
            <w:tcW w:w="1440" w:type="dxa"/>
            <w:vAlign w:val="bottom"/>
            <w:gridSpan w:val="2"/>
          </w:tcPr>
          <w:p>
            <w:pPr>
              <w:ind w:left="280"/>
              <w:spacing w:after="0"/>
              <w:rPr>
                <w:sz w:val="20"/>
                <w:szCs w:val="20"/>
                <w:color w:val="auto"/>
              </w:rPr>
            </w:pPr>
            <w:r>
              <w:rPr>
                <w:rFonts w:ascii="Arial" w:cs="Arial" w:eastAsia="Arial" w:hAnsi="Arial"/>
                <w:sz w:val="18"/>
                <w:szCs w:val="18"/>
                <w:color w:val="auto"/>
              </w:rPr>
              <w:t>12/02/03</w:t>
            </w: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4.10%</w:t>
            </w:r>
          </w:p>
        </w:tc>
        <w:tc>
          <w:tcPr>
            <w:tcW w:w="1480" w:type="dxa"/>
            <w:vAlign w:val="bottom"/>
          </w:tcPr>
          <w:p>
            <w:pPr>
              <w:ind w:left="380"/>
              <w:spacing w:after="0"/>
              <w:rPr>
                <w:sz w:val="20"/>
                <w:szCs w:val="20"/>
                <w:color w:val="auto"/>
              </w:rPr>
            </w:pPr>
            <w:r>
              <w:rPr>
                <w:rFonts w:ascii="Arial" w:cs="Arial" w:eastAsia="Arial" w:hAnsi="Arial"/>
                <w:sz w:val="18"/>
                <w:szCs w:val="18"/>
                <w:color w:val="auto"/>
              </w:rPr>
              <w:t>9.0 years</w:t>
            </w:r>
          </w:p>
        </w:tc>
        <w:tc>
          <w:tcPr>
            <w:tcW w:w="1580" w:type="dxa"/>
            <w:vAlign w:val="bottom"/>
          </w:tcPr>
          <w:p>
            <w:pPr>
              <w:jc w:val="right"/>
              <w:ind w:right="276"/>
              <w:spacing w:after="0"/>
              <w:rPr>
                <w:sz w:val="20"/>
                <w:szCs w:val="20"/>
                <w:color w:val="auto"/>
              </w:rPr>
            </w:pPr>
            <w:r>
              <w:rPr>
                <w:rFonts w:ascii="Arial" w:cs="Arial" w:eastAsia="Arial" w:hAnsi="Arial"/>
                <w:sz w:val="18"/>
                <w:szCs w:val="18"/>
                <w:color w:val="auto"/>
              </w:rPr>
              <w:t>27.60%</w:t>
            </w:r>
          </w:p>
        </w:tc>
        <w:tc>
          <w:tcPr>
            <w:tcW w:w="1620" w:type="dxa"/>
            <w:vAlign w:val="bottom"/>
          </w:tcPr>
          <w:p>
            <w:pPr>
              <w:jc w:val="right"/>
              <w:ind w:right="217"/>
              <w:spacing w:after="0"/>
              <w:rPr>
                <w:sz w:val="20"/>
                <w:szCs w:val="20"/>
                <w:color w:val="auto"/>
              </w:rPr>
            </w:pPr>
            <w:r>
              <w:rPr>
                <w:rFonts w:ascii="Arial" w:cs="Arial" w:eastAsia="Arial" w:hAnsi="Arial"/>
                <w:sz w:val="18"/>
                <w:szCs w:val="18"/>
                <w:color w:val="auto"/>
              </w:rPr>
              <w:t>0.26%</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20"/>
          </w:cols>
          <w:pgMar w:left="240" w:top="143" w:right="339" w:bottom="1440" w:gutter="0" w:footer="0" w:header="0"/>
        </w:sectPr>
      </w:pP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160"/>
        <w:spacing w:after="0" w:line="236" w:lineRule="auto"/>
        <w:rPr>
          <w:sz w:val="20"/>
          <w:szCs w:val="20"/>
          <w:color w:val="auto"/>
        </w:rPr>
      </w:pPr>
      <w:r>
        <w:rPr>
          <w:rFonts w:ascii="Arial" w:cs="Arial" w:eastAsia="Arial" w:hAnsi="Arial"/>
          <w:sz w:val="18"/>
          <w:szCs w:val="18"/>
          <w:color w:val="auto"/>
        </w:rPr>
        <w:t>For Mr. Wolfe, who currently is eligible for retirement as described in our 2000 Stock Option Plan and was eligible for retirement prior to fiscal 2009, options are subject to accelerated expensing and are expensed in the year of grant because he must be employed as of the end of the fiscal year in which the options were granted in order for the option to continue to vest following his retirement. Therefore, the only expense recognized in the relevant fiscal year is the expense associated with the grant for such fiscal year, which is recognized using the assumptions in the table above.</w:t>
      </w:r>
    </w:p>
    <w:p>
      <w:pPr>
        <w:spacing w:after="0" w:line="211" w:lineRule="exact"/>
        <w:rPr>
          <w:sz w:val="20"/>
          <w:szCs w:val="20"/>
          <w:color w:val="auto"/>
        </w:rPr>
      </w:pPr>
    </w:p>
    <w:p>
      <w:pPr>
        <w:ind w:left="540" w:right="220" w:hanging="532"/>
        <w:spacing w:after="0" w:line="23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reported represents annual incentive awards payable in cash under The Toro Company Annual Management Incentive Plan II, or AMIP, which were paid or deferred. Information regarding the AMIP is included in the "Compensation Discussion and Analysis" under "Annual Cash Incentives" beginning on page 38.</w:t>
      </w:r>
    </w:p>
    <w:p>
      <w:pPr>
        <w:spacing w:after="0" w:line="208" w:lineRule="exact"/>
        <w:rPr>
          <w:rFonts w:ascii="Arial" w:cs="Arial" w:eastAsia="Arial" w:hAnsi="Arial"/>
          <w:sz w:val="18"/>
          <w:szCs w:val="18"/>
          <w:color w:val="auto"/>
        </w:rPr>
      </w:pPr>
    </w:p>
    <w:p>
      <w:pPr>
        <w:ind w:left="540" w:right="60" w:hanging="532"/>
        <w:spacing w:after="0" w:line="23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 reported represents the dollar value of above-market interest earned during the first two months of fiscal 2007 on accounts under the Deferred Compensation Plan and the Supplemental Benefit Plan. Both plans were amended effective January 2007 to base the rates of return on funds that are comparable to the funds available to our employees through the IS&amp;ESOP. Information regarding the Deferred Compensation Plan and the Supplemental Benefit Plan is included in the "Compensation Discussion and Analysis" under "Nonqualified Deferred Compensation Plans" on page 46.</w:t>
      </w:r>
    </w:p>
    <w:p>
      <w:pPr>
        <w:spacing w:after="0" w:line="197" w:lineRule="exact"/>
        <w:rPr>
          <w:rFonts w:ascii="Arial" w:cs="Arial" w:eastAsia="Arial" w:hAnsi="Arial"/>
          <w:sz w:val="18"/>
          <w:szCs w:val="18"/>
          <w:color w:val="auto"/>
        </w:rPr>
      </w:pPr>
    </w:p>
    <w:p>
      <w:pPr>
        <w:ind w:left="540" w:right="80" w:hanging="532"/>
        <w:spacing w:after="0" w:line="23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value of company contributions for calendar year 2009 to the IS&amp;ESOP (including the company match on contributions, an investment savings contribution and an ESOP contribution), company contributions to the Supplemental Benefit Plan and the value of perquisites including: company-paid annual lease payments for company-leased automobiles and W2 amount for gas on personal mileage; reimbursements for financial planning expenses; company-paid executive physicals; the aggregate incremental cost to Toro of providing certain company products to our named executive officers at no cost; 24-hour accidental death and dismemberment (AD&amp;D) coverage; and the cost of additional vacation. Additional information regarding perquisites is included in the "Compensation Discussion and Analysis" under "Perquisites" beginning on page 47. The tables below summarize the details provided in the All Other Compensation column and the detail behind the perquisites provided.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Investment</w:t>
            </w: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Supplemental</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rPr>
              <w:t>Total</w:t>
            </w:r>
          </w:p>
        </w:tc>
      </w:tr>
      <w:tr>
        <w:trPr>
          <w:trHeight w:val="162"/>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Company</w:t>
            </w:r>
          </w:p>
        </w:tc>
        <w:tc>
          <w:tcPr>
            <w:tcW w:w="40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ESOP</w:t>
            </w:r>
          </w:p>
        </w:tc>
        <w:tc>
          <w:tcPr>
            <w:tcW w:w="4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Fund</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Benefit 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4"/>
                <w:szCs w:val="14"/>
                <w:color w:val="auto"/>
              </w:rPr>
            </w:pPr>
          </w:p>
        </w:tc>
        <w:tc>
          <w:tcPr>
            <w:tcW w:w="216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rPr>
              <w:t>All Other</w:t>
            </w:r>
          </w:p>
        </w:tc>
      </w:tr>
      <w:tr>
        <w:trPr>
          <w:trHeight w:val="196"/>
        </w:trPr>
        <w:tc>
          <w:tcPr>
            <w:tcW w:w="116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7"/>
                <w:szCs w:val="17"/>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Match</w:t>
            </w: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Contribution</w:t>
            </w: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Contribution</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Contribution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Perks</w:t>
            </w:r>
          </w:p>
        </w:tc>
        <w:tc>
          <w:tcPr>
            <w:tcW w:w="2540" w:type="dxa"/>
            <w:vAlign w:val="bottom"/>
            <w:gridSpan w:val="4"/>
          </w:tcPr>
          <w:p>
            <w:pPr>
              <w:ind w:left="240"/>
              <w:spacing w:after="0"/>
              <w:rPr>
                <w:sz w:val="20"/>
                <w:szCs w:val="20"/>
                <w:color w:val="auto"/>
              </w:rPr>
            </w:pPr>
            <w:r>
              <w:rPr>
                <w:rFonts w:ascii="Arial" w:cs="Arial" w:eastAsia="Arial" w:hAnsi="Arial"/>
                <w:sz w:val="14"/>
                <w:szCs w:val="14"/>
                <w:b w:val="1"/>
                <w:bCs w:val="1"/>
                <w:color w:val="auto"/>
              </w:rPr>
              <w:t>Compensation</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2"/>
        </w:trPr>
        <w:tc>
          <w:tcPr>
            <w:tcW w:w="1160" w:type="dxa"/>
            <w:vAlign w:val="bottom"/>
          </w:tcPr>
          <w:p>
            <w:pPr>
              <w:spacing w:after="0"/>
              <w:rPr>
                <w:sz w:val="17"/>
                <w:szCs w:val="17"/>
                <w:color w:val="auto"/>
              </w:rPr>
            </w:pPr>
          </w:p>
        </w:tc>
        <w:tc>
          <w:tcPr>
            <w:tcW w:w="1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Mr. Hoffman</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4,900</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3,675</w:t>
            </w:r>
          </w:p>
        </w:tc>
        <w:tc>
          <w:tcPr>
            <w:tcW w:w="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21,076</w:t>
            </w: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64,349</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$ 45,621</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139,621</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Mr. Wolfe</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4,900</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3,675</w:t>
            </w:r>
          </w:p>
        </w:tc>
        <w:tc>
          <w:tcPr>
            <w:tcW w:w="4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140"/>
              <w:spacing w:after="0" w:line="202" w:lineRule="exact"/>
              <w:rPr>
                <w:sz w:val="20"/>
                <w:szCs w:val="20"/>
                <w:color w:val="auto"/>
              </w:rPr>
            </w:pPr>
            <w:r>
              <w:rPr>
                <w:rFonts w:ascii="Arial" w:cs="Arial" w:eastAsia="Arial" w:hAnsi="Arial"/>
                <w:sz w:val="18"/>
                <w:szCs w:val="18"/>
                <w:color w:val="auto"/>
              </w:rPr>
              <w:t>21,076</w:t>
            </w:r>
          </w:p>
        </w:tc>
        <w:tc>
          <w:tcPr>
            <w:tcW w:w="4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15,923</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$ 34,702</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80,276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Mr. Ramstad</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4,900</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3,675</w:t>
            </w:r>
          </w:p>
        </w:tc>
        <w:tc>
          <w:tcPr>
            <w:tcW w:w="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21,076</w:t>
            </w: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7,336</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$ 51,298</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88,285</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Mr. Dordell</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4,900</w:t>
            </w:r>
          </w:p>
        </w:tc>
        <w:tc>
          <w:tcPr>
            <w:tcW w:w="4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3,675</w:t>
            </w:r>
          </w:p>
        </w:tc>
        <w:tc>
          <w:tcPr>
            <w:tcW w:w="4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140"/>
              <w:spacing w:after="0" w:line="202" w:lineRule="exact"/>
              <w:rPr>
                <w:sz w:val="20"/>
                <w:szCs w:val="20"/>
                <w:color w:val="auto"/>
              </w:rPr>
            </w:pPr>
            <w:r>
              <w:rPr>
                <w:rFonts w:ascii="Arial" w:cs="Arial" w:eastAsia="Arial" w:hAnsi="Arial"/>
                <w:sz w:val="18"/>
                <w:szCs w:val="18"/>
                <w:color w:val="auto"/>
              </w:rPr>
              <w:t>21,076</w:t>
            </w:r>
          </w:p>
        </w:tc>
        <w:tc>
          <w:tcPr>
            <w:tcW w:w="48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5,748</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$ 30,570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65,969</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Mr. Brown</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4,900</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3,675</w:t>
            </w:r>
          </w:p>
        </w:tc>
        <w:tc>
          <w:tcPr>
            <w:tcW w:w="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21,076</w:t>
            </w:r>
          </w:p>
        </w:tc>
        <w:tc>
          <w:tcPr>
            <w:tcW w:w="4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13,292</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$ 21,150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64,093</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Financial</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Executive</w:t>
            </w: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rPr>
              <w:t>Total</w:t>
            </w:r>
          </w:p>
        </w:tc>
      </w:tr>
      <w:tr>
        <w:trPr>
          <w:trHeight w:val="196"/>
        </w:trPr>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Automobile</w:t>
            </w:r>
          </w:p>
        </w:tc>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Planning</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Physical</w:t>
            </w: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Product</w:t>
            </w:r>
          </w:p>
        </w:tc>
        <w:tc>
          <w:tcPr>
            <w:tcW w:w="9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AD&amp;D</w:t>
            </w:r>
          </w:p>
        </w:tc>
        <w:tc>
          <w:tcPr>
            <w:tcW w:w="11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Vacation</w:t>
            </w:r>
          </w:p>
        </w:tc>
        <w:tc>
          <w:tcPr>
            <w:tcW w:w="98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99"/>
              </w:rPr>
              <w:t>Perks</w:t>
            </w:r>
          </w:p>
        </w:tc>
      </w:tr>
      <w:tr>
        <w:trPr>
          <w:trHeight w:val="20"/>
        </w:trPr>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1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Mr. Hoffman</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23,164</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6,000</w:t>
            </w:r>
          </w:p>
        </w:tc>
        <w:tc>
          <w:tcPr>
            <w:tcW w:w="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4"/>
              </w:rPr>
              <w:t>15,868</w:t>
            </w:r>
          </w:p>
        </w:tc>
        <w:tc>
          <w:tcPr>
            <w:tcW w:w="880" w:type="dxa"/>
            <w:vAlign w:val="bottom"/>
            <w:shd w:val="clear" w:color="auto" w:fill="CCEEFF"/>
          </w:tcPr>
          <w:p>
            <w:pPr>
              <w:jc w:val="center"/>
              <w:ind w:left="137"/>
              <w:spacing w:after="0" w:line="202" w:lineRule="exact"/>
              <w:rPr>
                <w:sz w:val="20"/>
                <w:szCs w:val="20"/>
                <w:color w:val="auto"/>
              </w:rPr>
            </w:pPr>
            <w:r>
              <w:rPr>
                <w:rFonts w:ascii="Arial" w:cs="Arial" w:eastAsia="Arial" w:hAnsi="Arial"/>
                <w:sz w:val="18"/>
                <w:szCs w:val="18"/>
                <w:color w:val="auto"/>
                <w:w w:val="94"/>
              </w:rPr>
              <w:t>$ 45,621</w:t>
            </w:r>
          </w:p>
        </w:tc>
        <w:tc>
          <w:tcPr>
            <w:tcW w:w="100" w:type="dxa"/>
            <w:vAlign w:val="bottom"/>
            <w:shd w:val="clear" w:color="auto" w:fill="CCEEFF"/>
          </w:tcPr>
          <w:p>
            <w:pPr>
              <w:spacing w:after="0"/>
              <w:rPr>
                <w:sz w:val="17"/>
                <w:szCs w:val="17"/>
                <w:color w:val="auto"/>
              </w:rPr>
            </w:pPr>
          </w:p>
        </w:tc>
      </w:tr>
      <w:tr>
        <w:trPr>
          <w:trHeight w:val="203"/>
        </w:trPr>
        <w:tc>
          <w:tcPr>
            <w:tcW w:w="1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Mr. Wolfe</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19,585</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6,000</w:t>
            </w:r>
          </w:p>
        </w:tc>
        <w:tc>
          <w:tcPr>
            <w:tcW w:w="4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1,025</w:t>
            </w:r>
          </w:p>
        </w:tc>
        <w:tc>
          <w:tcPr>
            <w:tcW w:w="3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7,777</w:t>
            </w:r>
          </w:p>
        </w:tc>
        <w:tc>
          <w:tcPr>
            <w:tcW w:w="880" w:type="dxa"/>
            <w:vAlign w:val="bottom"/>
          </w:tcPr>
          <w:p>
            <w:pPr>
              <w:jc w:val="center"/>
              <w:ind w:left="137"/>
              <w:spacing w:after="0" w:line="202" w:lineRule="exact"/>
              <w:rPr>
                <w:sz w:val="20"/>
                <w:szCs w:val="20"/>
                <w:color w:val="auto"/>
              </w:rPr>
            </w:pPr>
            <w:r>
              <w:rPr>
                <w:rFonts w:ascii="Arial" w:cs="Arial" w:eastAsia="Arial" w:hAnsi="Arial"/>
                <w:sz w:val="18"/>
                <w:szCs w:val="18"/>
                <w:color w:val="auto"/>
                <w:w w:val="94"/>
              </w:rPr>
              <w:t>$ 34,702</w:t>
            </w:r>
          </w:p>
        </w:tc>
        <w:tc>
          <w:tcPr>
            <w:tcW w:w="100" w:type="dxa"/>
            <w:vAlign w:val="bottom"/>
          </w:tcPr>
          <w:p>
            <w:pPr>
              <w:spacing w:after="0"/>
              <w:rPr>
                <w:sz w:val="17"/>
                <w:szCs w:val="17"/>
                <w:color w:val="auto"/>
              </w:rPr>
            </w:pPr>
          </w:p>
        </w:tc>
      </w:tr>
      <w:tr>
        <w:trPr>
          <w:trHeight w:val="203"/>
        </w:trPr>
        <w:tc>
          <w:tcPr>
            <w:tcW w:w="1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Mr. Ramstad</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14,806</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5,000</w:t>
            </w:r>
          </w:p>
        </w:tc>
        <w:tc>
          <w:tcPr>
            <w:tcW w:w="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427</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18,692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4"/>
              </w:rPr>
              <w:t>12,058</w:t>
            </w:r>
          </w:p>
        </w:tc>
        <w:tc>
          <w:tcPr>
            <w:tcW w:w="880" w:type="dxa"/>
            <w:vAlign w:val="bottom"/>
            <w:shd w:val="clear" w:color="auto" w:fill="CCEEFF"/>
          </w:tcPr>
          <w:p>
            <w:pPr>
              <w:jc w:val="center"/>
              <w:ind w:left="137"/>
              <w:spacing w:after="0" w:line="202" w:lineRule="exact"/>
              <w:rPr>
                <w:sz w:val="20"/>
                <w:szCs w:val="20"/>
                <w:color w:val="auto"/>
              </w:rPr>
            </w:pPr>
            <w:r>
              <w:rPr>
                <w:rFonts w:ascii="Arial" w:cs="Arial" w:eastAsia="Arial" w:hAnsi="Arial"/>
                <w:sz w:val="18"/>
                <w:szCs w:val="18"/>
                <w:color w:val="auto"/>
                <w:w w:val="94"/>
              </w:rPr>
              <w:t>$ 51,298</w:t>
            </w:r>
          </w:p>
        </w:tc>
        <w:tc>
          <w:tcPr>
            <w:tcW w:w="100" w:type="dxa"/>
            <w:vAlign w:val="bottom"/>
            <w:shd w:val="clear" w:color="auto" w:fill="CCEEFF"/>
          </w:tcPr>
          <w:p>
            <w:pPr>
              <w:spacing w:after="0"/>
              <w:rPr>
                <w:sz w:val="17"/>
                <w:szCs w:val="17"/>
                <w:color w:val="auto"/>
              </w:rPr>
            </w:pPr>
          </w:p>
        </w:tc>
      </w:tr>
      <w:tr>
        <w:trPr>
          <w:trHeight w:val="203"/>
        </w:trPr>
        <w:tc>
          <w:tcPr>
            <w:tcW w:w="1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Mr. Dordell</w:t>
            </w:r>
          </w:p>
        </w:tc>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14,344</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5,500</w:t>
            </w:r>
          </w:p>
        </w:tc>
        <w:tc>
          <w:tcPr>
            <w:tcW w:w="4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3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line="202" w:lineRule="exact"/>
              <w:rPr>
                <w:sz w:val="20"/>
                <w:szCs w:val="20"/>
                <w:color w:val="auto"/>
              </w:rPr>
            </w:pPr>
            <w:r>
              <w:rPr>
                <w:rFonts w:ascii="Arial" w:cs="Arial" w:eastAsia="Arial" w:hAnsi="Arial"/>
                <w:sz w:val="18"/>
                <w:szCs w:val="18"/>
                <w:color w:val="auto"/>
                <w:w w:val="94"/>
              </w:rPr>
              <w:t>10,411</w:t>
            </w:r>
          </w:p>
        </w:tc>
        <w:tc>
          <w:tcPr>
            <w:tcW w:w="880" w:type="dxa"/>
            <w:vAlign w:val="bottom"/>
          </w:tcPr>
          <w:p>
            <w:pPr>
              <w:jc w:val="center"/>
              <w:ind w:left="137"/>
              <w:spacing w:after="0" w:line="202" w:lineRule="exact"/>
              <w:rPr>
                <w:sz w:val="20"/>
                <w:szCs w:val="20"/>
                <w:color w:val="auto"/>
              </w:rPr>
            </w:pPr>
            <w:r>
              <w:rPr>
                <w:rFonts w:ascii="Arial" w:cs="Arial" w:eastAsia="Arial" w:hAnsi="Arial"/>
                <w:sz w:val="18"/>
                <w:szCs w:val="18"/>
                <w:color w:val="auto"/>
                <w:w w:val="94"/>
              </w:rPr>
              <w:t>$ 30,570</w:t>
            </w:r>
          </w:p>
        </w:tc>
        <w:tc>
          <w:tcPr>
            <w:tcW w:w="100" w:type="dxa"/>
            <w:vAlign w:val="bottom"/>
          </w:tcPr>
          <w:p>
            <w:pPr>
              <w:spacing w:after="0"/>
              <w:rPr>
                <w:sz w:val="17"/>
                <w:szCs w:val="17"/>
                <w:color w:val="auto"/>
              </w:rPr>
            </w:pPr>
          </w:p>
        </w:tc>
      </w:tr>
      <w:tr>
        <w:trPr>
          <w:trHeight w:val="203"/>
        </w:trPr>
        <w:tc>
          <w:tcPr>
            <w:tcW w:w="1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Mr. Brown</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13,983</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1,625</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5,227</w:t>
            </w:r>
          </w:p>
        </w:tc>
        <w:tc>
          <w:tcPr>
            <w:tcW w:w="880" w:type="dxa"/>
            <w:vAlign w:val="bottom"/>
            <w:shd w:val="clear" w:color="auto" w:fill="CCEEFF"/>
          </w:tcPr>
          <w:p>
            <w:pPr>
              <w:jc w:val="center"/>
              <w:ind w:left="137"/>
              <w:spacing w:after="0" w:line="202" w:lineRule="exact"/>
              <w:rPr>
                <w:sz w:val="20"/>
                <w:szCs w:val="20"/>
                <w:color w:val="auto"/>
              </w:rPr>
            </w:pPr>
            <w:r>
              <w:rPr>
                <w:rFonts w:ascii="Arial" w:cs="Arial" w:eastAsia="Arial" w:hAnsi="Arial"/>
                <w:sz w:val="18"/>
                <w:szCs w:val="18"/>
                <w:color w:val="auto"/>
                <w:w w:val="94"/>
              </w:rPr>
              <w:t>$ 21,150</w:t>
            </w:r>
          </w:p>
        </w:tc>
        <w:tc>
          <w:tcPr>
            <w:tcW w:w="10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$219,532 (100%) of cash payouts of annual incentive awards under the AMIP deferred under the Deferred Compensation Plan.</w:t>
      </w:r>
    </w:p>
    <w:p>
      <w:pPr>
        <w:spacing w:after="0" w:line="234" w:lineRule="exact"/>
        <w:rPr>
          <w:rFonts w:ascii="Arial" w:cs="Arial" w:eastAsia="Arial" w:hAnsi="Arial"/>
          <w:sz w:val="16"/>
          <w:szCs w:val="16"/>
          <w:color w:val="auto"/>
        </w:rPr>
      </w:pPr>
    </w:p>
    <w:p>
      <w:pPr>
        <w:jc w:val="both"/>
        <w:ind w:left="540" w:right="60" w:hanging="532"/>
        <w:spacing w:after="0" w:line="238"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Ramstad received an employment inducement award in the form of cash, options and restricted stock to offset a portion of the deferred compensation value that he forfeited by terminating his employment at his prior company. This amount includes $51,635 of expense for the restricted stock portion of that award.</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$36,680 of the stock option portion of Mr. Ramstad's employment inducement award.</w:t>
      </w:r>
    </w:p>
    <w:p>
      <w:pPr>
        <w:spacing w:after="0" w:line="198" w:lineRule="exact"/>
        <w:rPr>
          <w:rFonts w:ascii="Arial" w:cs="Arial" w:eastAsia="Arial" w:hAnsi="Arial"/>
          <w:sz w:val="18"/>
          <w:szCs w:val="18"/>
          <w:color w:val="auto"/>
        </w:rPr>
      </w:pPr>
    </w:p>
    <w:p>
      <w:pPr>
        <w:ind w:left="540" w:right="360" w:hanging="532"/>
        <w:spacing w:after="0" w:line="23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 reported represents base salary earned from November 27, 2006, the commencement date of Mr. Ramstad's employment with Toro, through October 31, 2007.</w:t>
      </w:r>
    </w:p>
    <w:p>
      <w:pPr>
        <w:spacing w:after="0" w:line="208"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$192,500, or the cash portion of Mr. Ramstad's employment inducement award.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$47,332 of expense for the restricted stock portion of Mr. Ramstad's employment inducement award.</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$70,913 of expense for the stock option portion of Mr. Ramstad's employment inducement award.</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$23,943 of base salary deferred under the Deferred Compensation Plan.</w:t>
      </w:r>
    </w:p>
    <w:p>
      <w:pPr>
        <w:spacing w:after="0" w:line="198" w:lineRule="exact"/>
        <w:rPr>
          <w:rFonts w:ascii="Arial" w:cs="Arial" w:eastAsia="Arial" w:hAnsi="Arial"/>
          <w:sz w:val="18"/>
          <w:szCs w:val="18"/>
          <w:color w:val="auto"/>
        </w:rPr>
      </w:pPr>
    </w:p>
    <w:p>
      <w:pPr>
        <w:ind w:left="540" w:right="240" w:hanging="532"/>
        <w:spacing w:after="0" w:line="23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Dordell received an employment inducement award in the form of cash, options and restricted stock to offset a portion of the annual incentive award and a portion of the present value and some expected future value of unvested and unexercisable stock options that he forfeited by terminating his employment at his prior company, as well as to offset forfeiture of some defined benefit pension plan benefits. This amount includes $57,077 of expense for the restricted stock portion of that award.</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$20,880 of expense for the stock option portion of Mr. Dordell's employment inducement award.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2009</w:t>
      </w:r>
    </w:p>
    <w:p>
      <w:pPr>
        <w:spacing w:after="0" w:line="234" w:lineRule="exact"/>
        <w:rPr>
          <w:sz w:val="20"/>
          <w:szCs w:val="20"/>
          <w:color w:val="auto"/>
        </w:rPr>
      </w:pPr>
    </w:p>
    <w:p>
      <w:pPr>
        <w:ind w:right="600" w:firstLine="387"/>
        <w:spacing w:after="0" w:line="239" w:lineRule="auto"/>
        <w:rPr>
          <w:sz w:val="20"/>
          <w:szCs w:val="20"/>
          <w:color w:val="auto"/>
        </w:rPr>
      </w:pPr>
      <w:r>
        <w:rPr>
          <w:rFonts w:ascii="Arial" w:cs="Arial" w:eastAsia="Arial" w:hAnsi="Arial"/>
          <w:sz w:val="18"/>
          <w:szCs w:val="18"/>
          <w:color w:val="auto"/>
        </w:rPr>
        <w:t>The following table shows the potential range of annual incentive cash award payouts for fiscal 2009, the potential range of payouts of performance share awards granted in fiscal 2007 and stock options granted in fiscal 2009.</w:t>
      </w:r>
    </w:p>
    <w:p>
      <w:pPr>
        <w:sectPr>
          <w:pgSz w:w="11900" w:h="16838" w:orient="portrait"/>
          <w:cols w:equalWidth="0" w:num="1">
            <w:col w:w="11380"/>
          </w:cols>
          <w:pgMar w:left="240" w:top="143" w:right="279" w:bottom="1440" w:gutter="0" w:footer="0" w:header="0"/>
        </w:sectPr>
      </w:pP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ind w:left="8"/>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ind w:left="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80" w:type="dxa"/>
            <w:vAlign w:val="bottom"/>
          </w:tcPr>
          <w:p>
            <w:pPr>
              <w:spacing w:after="0"/>
              <w:rPr>
                <w:sz w:val="14"/>
                <w:szCs w:val="14"/>
                <w:color w:val="auto"/>
              </w:rPr>
            </w:pPr>
          </w:p>
        </w:tc>
        <w:tc>
          <w:tcPr>
            <w:tcW w:w="2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680" w:type="dxa"/>
            <w:vAlign w:val="bottom"/>
          </w:tcPr>
          <w:p>
            <w:pPr>
              <w:jc w:val="center"/>
              <w:ind w:left="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Under Non-Equity Incentive</w:t>
            </w:r>
          </w:p>
        </w:tc>
        <w:tc>
          <w:tcPr>
            <w:tcW w:w="80" w:type="dxa"/>
            <w:vAlign w:val="bottom"/>
          </w:tcPr>
          <w:p>
            <w:pPr>
              <w:spacing w:after="0"/>
              <w:rPr>
                <w:sz w:val="4"/>
                <w:szCs w:val="4"/>
                <w:color w:val="auto"/>
              </w:rPr>
            </w:pPr>
          </w:p>
        </w:tc>
        <w:tc>
          <w:tcPr>
            <w:tcW w:w="2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Under Equity Incentive</w:t>
            </w: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56"/>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3"/>
            <w:vMerge w:val="restart"/>
          </w:tcPr>
          <w:p>
            <w:pPr>
              <w:jc w:val="center"/>
              <w:spacing w:after="0" w:line="185" w:lineRule="exact"/>
              <w:rPr>
                <w:sz w:val="20"/>
                <w:szCs w:val="20"/>
                <w:color w:val="auto"/>
              </w:rPr>
            </w:pPr>
            <w:r>
              <w:rPr>
                <w:rFonts w:ascii="Arial" w:cs="Arial" w:eastAsia="Arial" w:hAnsi="Arial"/>
                <w:sz w:val="14"/>
                <w:szCs w:val="14"/>
                <w:b w:val="1"/>
                <w:bCs w:val="1"/>
                <w:color w:val="auto"/>
                <w:w w:val="98"/>
              </w:rPr>
              <w:t>Plan Awards</w:t>
            </w:r>
            <w:r>
              <w:rPr>
                <w:rFonts w:ascii="Arial" w:cs="Arial" w:eastAsia="Arial" w:hAnsi="Arial"/>
                <w:sz w:val="21"/>
                <w:szCs w:val="21"/>
                <w:b w:val="1"/>
                <w:bCs w:val="1"/>
                <w:color w:val="auto"/>
                <w:w w:val="98"/>
                <w:vertAlign w:val="superscript"/>
              </w:rPr>
              <w:t>(1)</w:t>
            </w:r>
          </w:p>
        </w:tc>
        <w:tc>
          <w:tcPr>
            <w:tcW w:w="80" w:type="dxa"/>
            <w:vAlign w:val="bottom"/>
          </w:tcPr>
          <w:p>
            <w:pPr>
              <w:spacing w:after="0"/>
              <w:rPr>
                <w:sz w:val="4"/>
                <w:szCs w:val="4"/>
                <w:color w:val="auto"/>
              </w:rPr>
            </w:pPr>
          </w:p>
        </w:tc>
        <w:tc>
          <w:tcPr>
            <w:tcW w:w="2040" w:type="dxa"/>
            <w:vAlign w:val="bottom"/>
            <w:gridSpan w:val="3"/>
            <w:vMerge w:val="restart"/>
          </w:tcPr>
          <w:p>
            <w:pPr>
              <w:jc w:val="center"/>
              <w:spacing w:after="0" w:line="185" w:lineRule="exact"/>
              <w:rPr>
                <w:sz w:val="20"/>
                <w:szCs w:val="20"/>
                <w:color w:val="auto"/>
              </w:rPr>
            </w:pPr>
            <w:r>
              <w:rPr>
                <w:rFonts w:ascii="Arial" w:cs="Arial" w:eastAsia="Arial" w:hAnsi="Arial"/>
                <w:sz w:val="14"/>
                <w:szCs w:val="14"/>
                <w:b w:val="1"/>
                <w:bCs w:val="1"/>
                <w:color w:val="auto"/>
                <w:w w:val="98"/>
              </w:rPr>
              <w:t>Plan Awards</w:t>
            </w:r>
            <w:r>
              <w:rPr>
                <w:rFonts w:ascii="Arial" w:cs="Arial" w:eastAsia="Arial" w:hAnsi="Arial"/>
                <w:sz w:val="21"/>
                <w:szCs w:val="21"/>
                <w:b w:val="1"/>
                <w:bCs w:val="1"/>
                <w:color w:val="auto"/>
                <w:w w:val="98"/>
                <w:vertAlign w:val="superscript"/>
              </w:rPr>
              <w:t>(2)</w:t>
            </w: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680" w:type="dxa"/>
            <w:vAlign w:val="bottom"/>
          </w:tcPr>
          <w:p>
            <w:pPr>
              <w:jc w:val="center"/>
              <w:ind w:left="8"/>
              <w:spacing w:after="0" w:line="12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820" w:type="dxa"/>
            <w:vAlign w:val="bottom"/>
          </w:tcPr>
          <w:p>
            <w:pPr>
              <w:jc w:val="center"/>
              <w:ind w:left="148"/>
              <w:spacing w:after="0"/>
              <w:rPr>
                <w:sz w:val="20"/>
                <w:szCs w:val="20"/>
                <w:color w:val="auto"/>
              </w:rPr>
            </w:pPr>
            <w:r>
              <w:rPr>
                <w:rFonts w:ascii="Arial" w:cs="Arial" w:eastAsia="Arial" w:hAnsi="Arial"/>
                <w:sz w:val="14"/>
                <w:szCs w:val="14"/>
                <w:b w:val="1"/>
                <w:bCs w:val="1"/>
                <w:color w:val="auto"/>
              </w:rPr>
              <w:t>Grant</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Threshold</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680" w:type="dxa"/>
            <w:vAlign w:val="bottom"/>
          </w:tcPr>
          <w:p>
            <w:pPr>
              <w:jc w:val="center"/>
              <w:ind w:left="8"/>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90"/>
        </w:trPr>
        <w:tc>
          <w:tcPr>
            <w:tcW w:w="7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ind w:left="148"/>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rPr>
              <w:t>Awards: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800" w:type="dxa"/>
            <w:vAlign w:val="bottom"/>
          </w:tcPr>
          <w:p>
            <w:pPr>
              <w:jc w:val="center"/>
              <w:ind w:right="9"/>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or Base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60"/>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1540" w:type="dxa"/>
            <w:vAlign w:val="bottom"/>
            <w:gridSpan w:val="2"/>
          </w:tcPr>
          <w:p>
            <w:pPr>
              <w:ind w:left="20"/>
              <w:spacing w:after="0" w:line="162" w:lineRule="exact"/>
              <w:rPr>
                <w:sz w:val="20"/>
                <w:szCs w:val="20"/>
                <w:color w:val="auto"/>
              </w:rPr>
            </w:pPr>
            <w:r>
              <w:rPr>
                <w:rFonts w:ascii="Arial" w:cs="Arial" w:eastAsia="Arial" w:hAnsi="Arial"/>
                <w:sz w:val="13"/>
                <w:szCs w:val="13"/>
                <w:b w:val="1"/>
                <w:bCs w:val="1"/>
                <w:color w:val="auto"/>
              </w:rPr>
              <w:t>Options</w:t>
            </w:r>
            <w:r>
              <w:rPr>
                <w:rFonts w:ascii="Arial" w:cs="Arial" w:eastAsia="Arial" w:hAnsi="Arial"/>
                <w:sz w:val="18"/>
                <w:szCs w:val="18"/>
                <w:b w:val="1"/>
                <w:bCs w:val="1"/>
                <w:color w:val="auto"/>
                <w:vertAlign w:val="superscript"/>
              </w:rPr>
              <w:t>(3)</w:t>
            </w:r>
            <w:r>
              <w:rPr>
                <w:rFonts w:ascii="Arial" w:cs="Arial" w:eastAsia="Arial" w:hAnsi="Arial"/>
                <w:sz w:val="13"/>
                <w:szCs w:val="13"/>
                <w:b w:val="1"/>
                <w:bCs w:val="1"/>
                <w:color w:val="auto"/>
              </w:rPr>
              <w:t xml:space="preserve">  Awards</w:t>
            </w:r>
            <w:r>
              <w:rPr>
                <w:rFonts w:ascii="Arial" w:cs="Arial" w:eastAsia="Arial" w:hAnsi="Arial"/>
                <w:sz w:val="18"/>
                <w:szCs w:val="18"/>
                <w:b w:val="1"/>
                <w:bCs w:val="1"/>
                <w:color w:val="auto"/>
                <w:vertAlign w:val="superscript"/>
              </w:rPr>
              <w:t>(4)</w:t>
            </w:r>
          </w:p>
        </w:tc>
        <w:tc>
          <w:tcPr>
            <w:tcW w:w="78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42"/>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(6)</w:t>
            </w:r>
          </w:p>
        </w:tc>
        <w:tc>
          <w:tcPr>
            <w:tcW w:w="0" w:type="dxa"/>
            <w:vAlign w:val="bottom"/>
          </w:tcPr>
          <w:p>
            <w:pPr>
              <w:spacing w:after="0"/>
              <w:rPr>
                <w:sz w:val="1"/>
                <w:szCs w:val="1"/>
                <w:color w:val="auto"/>
              </w:rPr>
            </w:pPr>
          </w:p>
        </w:tc>
      </w:tr>
      <w:tr>
        <w:trPr>
          <w:trHeight w:val="78"/>
        </w:trPr>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00" w:space="100"/>
            <w:col w:w="3480"/>
          </w:cols>
          <w:pgMar w:left="240" w:top="143" w:right="27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1160" w:type="dxa"/>
            <w:vAlign w:val="bottom"/>
          </w:tcPr>
          <w:p>
            <w:pPr>
              <w:spacing w:after="0"/>
              <w:rPr>
                <w:sz w:val="14"/>
                <w:szCs w:val="14"/>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Michael J.</w:t>
            </w:r>
          </w:p>
        </w:tc>
        <w:tc>
          <w:tcPr>
            <w:tcW w:w="8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160" w:type="dxa"/>
            <w:vAlign w:val="bottom"/>
          </w:tcPr>
          <w:p>
            <w:pPr>
              <w:spacing w:after="0"/>
              <w:rPr>
                <w:sz w:val="13"/>
                <w:szCs w:val="13"/>
                <w:color w:val="auto"/>
              </w:rPr>
            </w:pPr>
          </w:p>
        </w:tc>
        <w:tc>
          <w:tcPr>
            <w:tcW w:w="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Hoffman</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AMIP</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12/03/08 $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260,666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$ 651,665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99"/>
              </w:rPr>
              <w:t>1,303,330</w:t>
            </w: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PSP</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12/03/08</w:t>
            </w: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11,800</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29,500</w:t>
            </w:r>
          </w:p>
        </w:tc>
        <w:tc>
          <w:tcPr>
            <w:tcW w:w="2180" w:type="dxa"/>
            <w:vAlign w:val="bottom"/>
            <w:shd w:val="clear" w:color="auto" w:fill="CCEEFF"/>
          </w:tcPr>
          <w:p>
            <w:pPr>
              <w:jc w:val="right"/>
              <w:ind w:right="1508"/>
              <w:spacing w:after="0"/>
              <w:rPr>
                <w:sz w:val="20"/>
                <w:szCs w:val="20"/>
                <w:color w:val="auto"/>
              </w:rPr>
            </w:pPr>
            <w:r>
              <w:rPr>
                <w:rFonts w:ascii="Arial" w:cs="Arial" w:eastAsia="Arial" w:hAnsi="Arial"/>
                <w:sz w:val="14"/>
                <w:szCs w:val="14"/>
                <w:color w:val="auto"/>
              </w:rPr>
              <w:t>59,000</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1,688,580</w:t>
            </w:r>
          </w:p>
        </w:tc>
        <w:tc>
          <w:tcPr>
            <w:tcW w:w="160" w:type="dxa"/>
            <w:vAlign w:val="bottom"/>
            <w:shd w:val="clear" w:color="auto" w:fill="CCEEFF"/>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2000 Stock</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160" w:type="dxa"/>
            <w:vAlign w:val="bottom"/>
          </w:tcPr>
          <w:p>
            <w:pPr>
              <w:spacing w:after="0"/>
              <w:rPr>
                <w:sz w:val="13"/>
                <w:szCs w:val="13"/>
                <w:color w:val="auto"/>
              </w:rPr>
            </w:pPr>
          </w:p>
        </w:tc>
        <w:tc>
          <w:tcPr>
            <w:tcW w:w="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Option Plan</w:t>
            </w:r>
          </w:p>
        </w:tc>
        <w:tc>
          <w:tcPr>
            <w:tcW w:w="8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12/03/08</w:t>
            </w: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92,200</w:t>
            </w:r>
          </w:p>
        </w:tc>
        <w:tc>
          <w:tcPr>
            <w:tcW w:w="2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28.62</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713,628</w:t>
            </w:r>
          </w:p>
        </w:tc>
        <w:tc>
          <w:tcPr>
            <w:tcW w:w="160" w:type="dxa"/>
            <w:vAlign w:val="bottom"/>
            <w:shd w:val="clear" w:color="auto" w:fill="CCEEFF"/>
          </w:tcPr>
          <w:p>
            <w:pPr>
              <w:spacing w:after="0"/>
              <w:rPr>
                <w:sz w:val="13"/>
                <w:szCs w:val="13"/>
                <w:color w:val="auto"/>
              </w:rPr>
            </w:pPr>
          </w:p>
        </w:tc>
      </w:tr>
      <w:tr>
        <w:trPr>
          <w:trHeight w:val="167"/>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Stephen P.</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Wolfe</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AMIP</w:t>
            </w:r>
          </w:p>
        </w:tc>
        <w:tc>
          <w:tcPr>
            <w:tcW w:w="880" w:type="dxa"/>
            <w:vAlign w:val="bottom"/>
          </w:tcPr>
          <w:p>
            <w:pPr>
              <w:ind w:left="120"/>
              <w:spacing w:after="0"/>
              <w:rPr>
                <w:sz w:val="20"/>
                <w:szCs w:val="20"/>
                <w:color w:val="auto"/>
              </w:rPr>
            </w:pPr>
            <w:r>
              <w:rPr>
                <w:rFonts w:ascii="Arial" w:cs="Arial" w:eastAsia="Arial" w:hAnsi="Arial"/>
                <w:sz w:val="14"/>
                <w:szCs w:val="14"/>
                <w:color w:val="auto"/>
              </w:rPr>
              <w:t>12/03/08 $</w:t>
            </w:r>
          </w:p>
        </w:tc>
        <w:tc>
          <w:tcPr>
            <w:tcW w:w="640" w:type="dxa"/>
            <w:vAlign w:val="bottom"/>
          </w:tcPr>
          <w:p>
            <w:pPr>
              <w:jc w:val="right"/>
              <w:spacing w:after="0"/>
              <w:rPr>
                <w:sz w:val="20"/>
                <w:szCs w:val="20"/>
                <w:color w:val="auto"/>
              </w:rPr>
            </w:pPr>
            <w:r>
              <w:rPr>
                <w:rFonts w:ascii="Arial" w:cs="Arial" w:eastAsia="Arial" w:hAnsi="Arial"/>
                <w:sz w:val="14"/>
                <w:szCs w:val="14"/>
                <w:color w:val="auto"/>
              </w:rPr>
              <w:t>97,696</w:t>
            </w:r>
          </w:p>
        </w:tc>
        <w:tc>
          <w:tcPr>
            <w:tcW w:w="700" w:type="dxa"/>
            <w:vAlign w:val="bottom"/>
          </w:tcPr>
          <w:p>
            <w:pPr>
              <w:jc w:val="right"/>
              <w:spacing w:after="0"/>
              <w:rPr>
                <w:sz w:val="20"/>
                <w:szCs w:val="20"/>
                <w:color w:val="auto"/>
              </w:rPr>
            </w:pPr>
            <w:r>
              <w:rPr>
                <w:rFonts w:ascii="Arial" w:cs="Arial" w:eastAsia="Arial" w:hAnsi="Arial"/>
                <w:sz w:val="14"/>
                <w:szCs w:val="14"/>
                <w:color w:val="auto"/>
              </w:rPr>
              <w:t>$ 244,241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788"/>
              <w:spacing w:after="0"/>
              <w:rPr>
                <w:sz w:val="20"/>
                <w:szCs w:val="20"/>
                <w:color w:val="auto"/>
              </w:rPr>
            </w:pPr>
            <w:r>
              <w:rPr>
                <w:rFonts w:ascii="Arial" w:cs="Arial" w:eastAsia="Arial" w:hAnsi="Arial"/>
                <w:sz w:val="14"/>
                <w:szCs w:val="14"/>
                <w:color w:val="auto"/>
              </w:rPr>
              <w:t>488,482</w:t>
            </w: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PSP</w:t>
            </w:r>
          </w:p>
        </w:tc>
        <w:tc>
          <w:tcPr>
            <w:tcW w:w="880" w:type="dxa"/>
            <w:vAlign w:val="bottom"/>
          </w:tcPr>
          <w:p>
            <w:pPr>
              <w:ind w:left="120"/>
              <w:spacing w:after="0"/>
              <w:rPr>
                <w:sz w:val="20"/>
                <w:szCs w:val="20"/>
                <w:color w:val="auto"/>
              </w:rPr>
            </w:pPr>
            <w:r>
              <w:rPr>
                <w:rFonts w:ascii="Arial" w:cs="Arial" w:eastAsia="Arial" w:hAnsi="Arial"/>
                <w:sz w:val="14"/>
                <w:szCs w:val="14"/>
                <w:color w:val="auto"/>
              </w:rPr>
              <w:t>12/03/08</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3,080</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7,700</w:t>
            </w:r>
          </w:p>
        </w:tc>
        <w:tc>
          <w:tcPr>
            <w:tcW w:w="2180" w:type="dxa"/>
            <w:vAlign w:val="bottom"/>
          </w:tcPr>
          <w:p>
            <w:pPr>
              <w:jc w:val="right"/>
              <w:ind w:right="1508"/>
              <w:spacing w:after="0"/>
              <w:rPr>
                <w:sz w:val="20"/>
                <w:szCs w:val="20"/>
                <w:color w:val="auto"/>
              </w:rPr>
            </w:pPr>
            <w:r>
              <w:rPr>
                <w:rFonts w:ascii="Arial" w:cs="Arial" w:eastAsia="Arial" w:hAnsi="Arial"/>
                <w:sz w:val="14"/>
                <w:szCs w:val="14"/>
                <w:color w:val="auto"/>
              </w:rPr>
              <w:t>15,400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440,748</w:t>
            </w: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2000 Stock</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00" w:type="dxa"/>
            <w:vAlign w:val="bottom"/>
            <w:gridSpan w:val="2"/>
          </w:tcPr>
          <w:p>
            <w:pPr>
              <w:ind w:left="1140"/>
              <w:spacing w:after="0" w:line="157" w:lineRule="exact"/>
              <w:rPr>
                <w:sz w:val="20"/>
                <w:szCs w:val="20"/>
                <w:color w:val="auto"/>
              </w:rPr>
            </w:pPr>
            <w:r>
              <w:rPr>
                <w:rFonts w:ascii="Arial" w:cs="Arial" w:eastAsia="Arial" w:hAnsi="Arial"/>
                <w:sz w:val="14"/>
                <w:szCs w:val="14"/>
                <w:color w:val="auto"/>
              </w:rPr>
              <w:t>Option Plan</w:t>
            </w:r>
          </w:p>
        </w:tc>
        <w:tc>
          <w:tcPr>
            <w:tcW w:w="880" w:type="dxa"/>
            <w:vAlign w:val="bottom"/>
          </w:tcPr>
          <w:p>
            <w:pPr>
              <w:ind w:left="120"/>
              <w:spacing w:after="0" w:line="157" w:lineRule="exact"/>
              <w:rPr>
                <w:sz w:val="20"/>
                <w:szCs w:val="20"/>
                <w:color w:val="auto"/>
              </w:rPr>
            </w:pPr>
            <w:r>
              <w:rPr>
                <w:rFonts w:ascii="Arial" w:cs="Arial" w:eastAsia="Arial" w:hAnsi="Arial"/>
                <w:sz w:val="14"/>
                <w:szCs w:val="14"/>
                <w:color w:val="auto"/>
              </w:rPr>
              <w:t>12/03/08</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80" w:type="dxa"/>
            <w:vAlign w:val="bottom"/>
          </w:tcPr>
          <w:p>
            <w:pPr>
              <w:jc w:val="right"/>
              <w:spacing w:after="0" w:line="157" w:lineRule="exact"/>
              <w:rPr>
                <w:sz w:val="20"/>
                <w:szCs w:val="20"/>
                <w:color w:val="auto"/>
              </w:rPr>
            </w:pPr>
            <w:r>
              <w:rPr>
                <w:rFonts w:ascii="Arial" w:cs="Arial" w:eastAsia="Arial" w:hAnsi="Arial"/>
                <w:sz w:val="14"/>
                <w:szCs w:val="14"/>
                <w:color w:val="auto"/>
              </w:rPr>
              <w:t>24,200</w:t>
            </w:r>
          </w:p>
        </w:tc>
        <w:tc>
          <w:tcPr>
            <w:tcW w:w="2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28.62</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187,308</w:t>
            </w:r>
          </w:p>
        </w:tc>
        <w:tc>
          <w:tcPr>
            <w:tcW w:w="160" w:type="dxa"/>
            <w:vAlign w:val="bottom"/>
          </w:tcPr>
          <w:p>
            <w:pPr>
              <w:spacing w:after="0"/>
              <w:rPr>
                <w:sz w:val="13"/>
                <w:szCs w:val="13"/>
                <w:color w:val="auto"/>
              </w:rPr>
            </w:pPr>
          </w:p>
        </w:tc>
      </w:tr>
      <w:tr>
        <w:trPr>
          <w:trHeight w:val="167"/>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Peter M.</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160" w:type="dxa"/>
            <w:vAlign w:val="bottom"/>
          </w:tcPr>
          <w:p>
            <w:pPr>
              <w:spacing w:after="0"/>
              <w:rPr>
                <w:sz w:val="13"/>
                <w:szCs w:val="13"/>
                <w:color w:val="auto"/>
              </w:rPr>
            </w:pPr>
          </w:p>
        </w:tc>
        <w:tc>
          <w:tcPr>
            <w:tcW w:w="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Ramstad</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AMIP</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12/03/08 $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60,911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$ 152,276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304,552</w:t>
            </w: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PSP</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12/03/08</w:t>
            </w: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5,000</w:t>
            </w:r>
          </w:p>
        </w:tc>
        <w:tc>
          <w:tcPr>
            <w:tcW w:w="2180" w:type="dxa"/>
            <w:vAlign w:val="bottom"/>
            <w:shd w:val="clear" w:color="auto" w:fill="CCEEFF"/>
          </w:tcPr>
          <w:p>
            <w:pPr>
              <w:jc w:val="right"/>
              <w:ind w:right="1508"/>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286,200</w:t>
            </w:r>
          </w:p>
        </w:tc>
        <w:tc>
          <w:tcPr>
            <w:tcW w:w="160" w:type="dxa"/>
            <w:vAlign w:val="bottom"/>
            <w:shd w:val="clear" w:color="auto" w:fill="CCEEFF"/>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2000 Stock</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160" w:type="dxa"/>
            <w:vAlign w:val="bottom"/>
          </w:tcPr>
          <w:p>
            <w:pPr>
              <w:spacing w:after="0"/>
              <w:rPr>
                <w:sz w:val="13"/>
                <w:szCs w:val="13"/>
                <w:color w:val="auto"/>
              </w:rPr>
            </w:pPr>
          </w:p>
        </w:tc>
        <w:tc>
          <w:tcPr>
            <w:tcW w:w="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Option Plan</w:t>
            </w:r>
          </w:p>
        </w:tc>
        <w:tc>
          <w:tcPr>
            <w:tcW w:w="8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12/03/08</w:t>
            </w: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15,600</w:t>
            </w:r>
          </w:p>
        </w:tc>
        <w:tc>
          <w:tcPr>
            <w:tcW w:w="2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28.62</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120,744</w:t>
            </w:r>
          </w:p>
        </w:tc>
        <w:tc>
          <w:tcPr>
            <w:tcW w:w="160" w:type="dxa"/>
            <w:vAlign w:val="bottom"/>
            <w:shd w:val="clear" w:color="auto" w:fill="CCEEFF"/>
          </w:tcPr>
          <w:p>
            <w:pPr>
              <w:spacing w:after="0"/>
              <w:rPr>
                <w:sz w:val="13"/>
                <w:szCs w:val="13"/>
                <w:color w:val="auto"/>
              </w:rPr>
            </w:pPr>
          </w:p>
        </w:tc>
      </w:tr>
      <w:tr>
        <w:trPr>
          <w:trHeight w:val="167"/>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Timothy P.</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Dordell</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AMIP</w:t>
            </w:r>
          </w:p>
        </w:tc>
        <w:tc>
          <w:tcPr>
            <w:tcW w:w="880" w:type="dxa"/>
            <w:vAlign w:val="bottom"/>
          </w:tcPr>
          <w:p>
            <w:pPr>
              <w:ind w:left="120"/>
              <w:spacing w:after="0"/>
              <w:rPr>
                <w:sz w:val="20"/>
                <w:szCs w:val="20"/>
                <w:color w:val="auto"/>
              </w:rPr>
            </w:pPr>
            <w:r>
              <w:rPr>
                <w:rFonts w:ascii="Arial" w:cs="Arial" w:eastAsia="Arial" w:hAnsi="Arial"/>
                <w:sz w:val="14"/>
                <w:szCs w:val="14"/>
                <w:color w:val="auto"/>
              </w:rPr>
              <w:t>12/03/08 $</w:t>
            </w:r>
          </w:p>
        </w:tc>
        <w:tc>
          <w:tcPr>
            <w:tcW w:w="640" w:type="dxa"/>
            <w:vAlign w:val="bottom"/>
          </w:tcPr>
          <w:p>
            <w:pPr>
              <w:jc w:val="right"/>
              <w:spacing w:after="0"/>
              <w:rPr>
                <w:sz w:val="20"/>
                <w:szCs w:val="20"/>
                <w:color w:val="auto"/>
              </w:rPr>
            </w:pPr>
            <w:r>
              <w:rPr>
                <w:rFonts w:ascii="Arial" w:cs="Arial" w:eastAsia="Arial" w:hAnsi="Arial"/>
                <w:sz w:val="14"/>
                <w:szCs w:val="14"/>
                <w:color w:val="auto"/>
              </w:rPr>
              <w:t>57,631</w:t>
            </w:r>
          </w:p>
        </w:tc>
        <w:tc>
          <w:tcPr>
            <w:tcW w:w="700" w:type="dxa"/>
            <w:vAlign w:val="bottom"/>
          </w:tcPr>
          <w:p>
            <w:pPr>
              <w:jc w:val="right"/>
              <w:spacing w:after="0"/>
              <w:rPr>
                <w:sz w:val="20"/>
                <w:szCs w:val="20"/>
                <w:color w:val="auto"/>
              </w:rPr>
            </w:pPr>
            <w:r>
              <w:rPr>
                <w:rFonts w:ascii="Arial" w:cs="Arial" w:eastAsia="Arial" w:hAnsi="Arial"/>
                <w:sz w:val="14"/>
                <w:szCs w:val="14"/>
                <w:color w:val="auto"/>
              </w:rPr>
              <w:t>$ 144,079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788"/>
              <w:spacing w:after="0"/>
              <w:rPr>
                <w:sz w:val="20"/>
                <w:szCs w:val="20"/>
                <w:color w:val="auto"/>
              </w:rPr>
            </w:pPr>
            <w:r>
              <w:rPr>
                <w:rFonts w:ascii="Arial" w:cs="Arial" w:eastAsia="Arial" w:hAnsi="Arial"/>
                <w:sz w:val="14"/>
                <w:szCs w:val="14"/>
                <w:color w:val="auto"/>
              </w:rPr>
              <w:t>288,158</w:t>
            </w: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PSP</w:t>
            </w:r>
          </w:p>
        </w:tc>
        <w:tc>
          <w:tcPr>
            <w:tcW w:w="880" w:type="dxa"/>
            <w:vAlign w:val="bottom"/>
          </w:tcPr>
          <w:p>
            <w:pPr>
              <w:ind w:left="120"/>
              <w:spacing w:after="0"/>
              <w:rPr>
                <w:sz w:val="20"/>
                <w:szCs w:val="20"/>
                <w:color w:val="auto"/>
              </w:rPr>
            </w:pPr>
            <w:r>
              <w:rPr>
                <w:rFonts w:ascii="Arial" w:cs="Arial" w:eastAsia="Arial" w:hAnsi="Arial"/>
                <w:sz w:val="14"/>
                <w:szCs w:val="14"/>
                <w:color w:val="auto"/>
              </w:rPr>
              <w:t>12/03/08</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2,240</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5,600</w:t>
            </w:r>
          </w:p>
        </w:tc>
        <w:tc>
          <w:tcPr>
            <w:tcW w:w="2180" w:type="dxa"/>
            <w:vAlign w:val="bottom"/>
          </w:tcPr>
          <w:p>
            <w:pPr>
              <w:jc w:val="right"/>
              <w:ind w:right="1508"/>
              <w:spacing w:after="0"/>
              <w:rPr>
                <w:sz w:val="20"/>
                <w:szCs w:val="20"/>
                <w:color w:val="auto"/>
              </w:rPr>
            </w:pPr>
            <w:r>
              <w:rPr>
                <w:rFonts w:ascii="Arial" w:cs="Arial" w:eastAsia="Arial" w:hAnsi="Arial"/>
                <w:sz w:val="14"/>
                <w:szCs w:val="14"/>
                <w:color w:val="auto"/>
              </w:rPr>
              <w:t>11,200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320,544</w:t>
            </w:r>
          </w:p>
        </w:tc>
        <w:tc>
          <w:tcPr>
            <w:tcW w:w="160" w:type="dxa"/>
            <w:vAlign w:val="bottom"/>
          </w:tcPr>
          <w:p>
            <w:pPr>
              <w:spacing w:after="0"/>
              <w:rPr>
                <w:sz w:val="14"/>
                <w:szCs w:val="14"/>
                <w:color w:val="auto"/>
              </w:rPr>
            </w:pPr>
          </w:p>
        </w:tc>
      </w:tr>
      <w:tr>
        <w:trPr>
          <w:trHeight w:val="162"/>
        </w:trPr>
        <w:tc>
          <w:tcPr>
            <w:tcW w:w="2000" w:type="dxa"/>
            <w:vAlign w:val="bottom"/>
            <w:gridSpan w:val="2"/>
          </w:tcPr>
          <w:p>
            <w:pPr>
              <w:ind w:left="1140"/>
              <w:spacing w:after="0"/>
              <w:rPr>
                <w:sz w:val="20"/>
                <w:szCs w:val="20"/>
                <w:color w:val="auto"/>
              </w:rPr>
            </w:pPr>
            <w:r>
              <w:rPr>
                <w:rFonts w:ascii="Arial" w:cs="Arial" w:eastAsia="Arial" w:hAnsi="Arial"/>
                <w:sz w:val="14"/>
                <w:szCs w:val="14"/>
                <w:color w:val="auto"/>
              </w:rPr>
              <w:t>2000 Stock</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000" w:type="dxa"/>
            <w:vAlign w:val="bottom"/>
            <w:gridSpan w:val="2"/>
          </w:tcPr>
          <w:p>
            <w:pPr>
              <w:ind w:left="1140"/>
              <w:spacing w:after="0" w:line="157" w:lineRule="exact"/>
              <w:rPr>
                <w:sz w:val="20"/>
                <w:szCs w:val="20"/>
                <w:color w:val="auto"/>
              </w:rPr>
            </w:pPr>
            <w:r>
              <w:rPr>
                <w:rFonts w:ascii="Arial" w:cs="Arial" w:eastAsia="Arial" w:hAnsi="Arial"/>
                <w:sz w:val="14"/>
                <w:szCs w:val="14"/>
                <w:color w:val="auto"/>
              </w:rPr>
              <w:t>Option Plan</w:t>
            </w:r>
          </w:p>
        </w:tc>
        <w:tc>
          <w:tcPr>
            <w:tcW w:w="880" w:type="dxa"/>
            <w:vAlign w:val="bottom"/>
          </w:tcPr>
          <w:p>
            <w:pPr>
              <w:ind w:left="120"/>
              <w:spacing w:after="0" w:line="157" w:lineRule="exact"/>
              <w:rPr>
                <w:sz w:val="20"/>
                <w:szCs w:val="20"/>
                <w:color w:val="auto"/>
              </w:rPr>
            </w:pPr>
            <w:r>
              <w:rPr>
                <w:rFonts w:ascii="Arial" w:cs="Arial" w:eastAsia="Arial" w:hAnsi="Arial"/>
                <w:sz w:val="14"/>
                <w:szCs w:val="14"/>
                <w:color w:val="auto"/>
              </w:rPr>
              <w:t>12/03/08</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80" w:type="dxa"/>
            <w:vAlign w:val="bottom"/>
          </w:tcPr>
          <w:p>
            <w:pPr>
              <w:jc w:val="right"/>
              <w:spacing w:after="0" w:line="157" w:lineRule="exact"/>
              <w:rPr>
                <w:sz w:val="20"/>
                <w:szCs w:val="20"/>
                <w:color w:val="auto"/>
              </w:rPr>
            </w:pPr>
            <w:r>
              <w:rPr>
                <w:rFonts w:ascii="Arial" w:cs="Arial" w:eastAsia="Arial" w:hAnsi="Arial"/>
                <w:sz w:val="14"/>
                <w:szCs w:val="14"/>
                <w:color w:val="auto"/>
              </w:rPr>
              <w:t>17,500</w:t>
            </w:r>
          </w:p>
        </w:tc>
        <w:tc>
          <w:tcPr>
            <w:tcW w:w="2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28.62</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135,450</w:t>
            </w:r>
          </w:p>
        </w:tc>
        <w:tc>
          <w:tcPr>
            <w:tcW w:w="160" w:type="dxa"/>
            <w:vAlign w:val="bottom"/>
          </w:tcPr>
          <w:p>
            <w:pPr>
              <w:spacing w:after="0"/>
              <w:rPr>
                <w:sz w:val="13"/>
                <w:szCs w:val="13"/>
                <w:color w:val="auto"/>
              </w:rPr>
            </w:pPr>
          </w:p>
        </w:tc>
      </w:tr>
      <w:tr>
        <w:trPr>
          <w:trHeight w:val="167"/>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William E.</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160" w:type="dxa"/>
            <w:vAlign w:val="bottom"/>
          </w:tcPr>
          <w:p>
            <w:pPr>
              <w:spacing w:after="0"/>
              <w:rPr>
                <w:sz w:val="13"/>
                <w:szCs w:val="13"/>
                <w:color w:val="auto"/>
              </w:rPr>
            </w:pPr>
          </w:p>
        </w:tc>
        <w:tc>
          <w:tcPr>
            <w:tcW w:w="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Brown, Jr.</w:t>
            </w: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AMIP</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12/03/08 $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$ 126,287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252,574</w:t>
            </w: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PSP</w:t>
            </w: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12/03/08</w:t>
            </w: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1,080</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2,700</w:t>
            </w:r>
          </w:p>
        </w:tc>
        <w:tc>
          <w:tcPr>
            <w:tcW w:w="2180" w:type="dxa"/>
            <w:vAlign w:val="bottom"/>
            <w:shd w:val="clear" w:color="auto" w:fill="CCEEFF"/>
          </w:tcPr>
          <w:p>
            <w:pPr>
              <w:jc w:val="right"/>
              <w:ind w:right="1508"/>
              <w:spacing w:after="0"/>
              <w:rPr>
                <w:sz w:val="20"/>
                <w:szCs w:val="20"/>
                <w:color w:val="auto"/>
              </w:rPr>
            </w:pPr>
            <w:r>
              <w:rPr>
                <w:rFonts w:ascii="Arial" w:cs="Arial" w:eastAsia="Arial" w:hAnsi="Arial"/>
                <w:sz w:val="14"/>
                <w:szCs w:val="14"/>
                <w:color w:val="auto"/>
              </w:rPr>
              <w:t>5,400</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154,548</w:t>
            </w:r>
          </w:p>
        </w:tc>
        <w:tc>
          <w:tcPr>
            <w:tcW w:w="160" w:type="dxa"/>
            <w:vAlign w:val="bottom"/>
            <w:shd w:val="clear" w:color="auto" w:fill="CCEEFF"/>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2000 Stock</w:t>
            </w: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160" w:type="dxa"/>
            <w:vAlign w:val="bottom"/>
          </w:tcPr>
          <w:p>
            <w:pPr>
              <w:spacing w:after="0"/>
              <w:rPr>
                <w:sz w:val="13"/>
                <w:szCs w:val="13"/>
                <w:color w:val="auto"/>
              </w:rPr>
            </w:pPr>
          </w:p>
        </w:tc>
        <w:tc>
          <w:tcPr>
            <w:tcW w:w="8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Option Plan</w:t>
            </w:r>
          </w:p>
        </w:tc>
        <w:tc>
          <w:tcPr>
            <w:tcW w:w="8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12/03/08</w:t>
            </w: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8,300</w:t>
            </w:r>
          </w:p>
        </w:tc>
        <w:tc>
          <w:tcPr>
            <w:tcW w:w="24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28.62</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64,242</w:t>
            </w:r>
          </w:p>
        </w:tc>
        <w:tc>
          <w:tcPr>
            <w:tcW w:w="160" w:type="dxa"/>
            <w:vAlign w:val="bottom"/>
            <w:shd w:val="clear" w:color="auto" w:fill="CCEEFF"/>
          </w:tcPr>
          <w:p>
            <w:pPr>
              <w:spacing w:after="0"/>
              <w:rPr>
                <w:sz w:val="13"/>
                <w:szCs w:val="13"/>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540" w:right="100" w:hanging="532"/>
        <w:spacing w:after="0" w:line="23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the range of cash payouts of annual incentive awards for fiscal 2009 under the AMIP. Actual payouts for fiscal 2009 are included in the "Summary Compensation Table" in the "Non-Equity Incentive Plan Compensation" column.</w:t>
      </w:r>
    </w:p>
    <w:p>
      <w:pPr>
        <w:spacing w:after="0" w:line="208" w:lineRule="exact"/>
        <w:rPr>
          <w:rFonts w:ascii="Arial" w:cs="Arial" w:eastAsia="Arial" w:hAnsi="Arial"/>
          <w:sz w:val="18"/>
          <w:szCs w:val="18"/>
          <w:color w:val="auto"/>
        </w:rPr>
      </w:pPr>
    </w:p>
    <w:p>
      <w:pPr>
        <w:jc w:val="both"/>
        <w:ind w:left="540" w:right="420" w:hanging="532"/>
        <w:spacing w:after="0" w:line="23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the range of performance share award payouts for fiscal 2009 to fiscal 2011 performance under The Toro Company Performance Share Plan, or PSP. Information regarding the PSP is included in the "Compensation Discussion and Analysis" under "Performance Share Awards" beginning on page 42.</w:t>
      </w:r>
    </w:p>
    <w:p>
      <w:pPr>
        <w:spacing w:after="0" w:line="194" w:lineRule="exact"/>
        <w:rPr>
          <w:rFonts w:ascii="Arial" w:cs="Arial" w:eastAsia="Arial" w:hAnsi="Arial"/>
          <w:sz w:val="18"/>
          <w:szCs w:val="18"/>
          <w:color w:val="auto"/>
        </w:rPr>
      </w:pPr>
    </w:p>
    <w:p>
      <w:pPr>
        <w:ind w:left="540" w:right="160" w:hanging="532"/>
        <w:spacing w:after="0" w:line="23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options granted during fiscal 2009 under The Toro Company 2000 Stock Option Plan, or 2000 Stock Option Plan. Information regarding the 2000 Stock Option Plan is included in the "Compensation Discussion and Analysis" under "Stock Options" on page 41.</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the date of grant, of $28.62.</w:t>
      </w:r>
    </w:p>
    <w:p>
      <w:pPr>
        <w:spacing w:after="0" w:line="211"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of performance share awards at maximum granted for the fiscal 2009 to fiscal 2011 award term based on the closing price of our common stock, as reported on the NYSE on the date of grant, of $28.62.</w:t>
      </w:r>
    </w:p>
    <w:p>
      <w:pPr>
        <w:spacing w:after="0" w:line="195" w:lineRule="exact"/>
        <w:rPr>
          <w:rFonts w:ascii="Arial" w:cs="Arial" w:eastAsia="Arial" w:hAnsi="Arial"/>
          <w:sz w:val="18"/>
          <w:szCs w:val="18"/>
          <w:color w:val="auto"/>
        </w:rPr>
      </w:pPr>
    </w:p>
    <w:p>
      <w:pPr>
        <w:ind w:left="540" w:hanging="532"/>
        <w:spacing w:after="0" w:line="23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of options granted in fiscal 2009 of $7.74 per share based on the Black-Scholes option pricing model. The specific assumptions used in the valuation of the options are included in footnote 2 to the "Summary Compensation Table."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Outstanding Equity Awards at Fiscal Year-End for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rPr>
              <w:t>Incentive</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Securities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Unexercised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rPr>
              <w:t>Unexercised</w:t>
            </w:r>
          </w:p>
        </w:tc>
        <w:tc>
          <w:tcPr>
            <w:tcW w:w="160" w:type="dxa"/>
            <w:vAlign w:val="bottom"/>
          </w:tcPr>
          <w:p>
            <w:pPr>
              <w:spacing w:after="0"/>
              <w:rPr>
                <w:sz w:val="14"/>
                <w:szCs w:val="14"/>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Have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rPr>
              <w:t>Unearned</w:t>
            </w:r>
          </w:p>
        </w:tc>
        <w:tc>
          <w:tcPr>
            <w:tcW w:w="7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Exercise</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Exercisable</w:t>
            </w:r>
          </w:p>
        </w:tc>
        <w:tc>
          <w:tcPr>
            <w:tcW w:w="12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8"/>
              </w:rPr>
              <w:t>Unexercisable</w:t>
            </w:r>
            <w:r>
              <w:rPr>
                <w:rFonts w:ascii="Arial" w:cs="Arial" w:eastAsia="Arial" w:hAnsi="Arial"/>
                <w:sz w:val="20"/>
                <w:szCs w:val="20"/>
                <w:b w:val="1"/>
                <w:bCs w:val="1"/>
                <w:color w:val="auto"/>
                <w:w w:val="98"/>
                <w:vertAlign w:val="superscript"/>
              </w:rPr>
              <w:t>(1)</w:t>
            </w:r>
          </w:p>
        </w:tc>
        <w:tc>
          <w:tcPr>
            <w:tcW w:w="94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20"/>
                <w:szCs w:val="20"/>
                <w:b w:val="1"/>
                <w:bCs w:val="1"/>
                <w:color w:val="auto"/>
                <w:w w:val="98"/>
                <w:vertAlign w:val="superscript"/>
              </w:rPr>
              <w:t>(2)</w:t>
            </w:r>
          </w:p>
        </w:tc>
        <w:tc>
          <w:tcPr>
            <w:tcW w:w="160" w:type="dxa"/>
            <w:vAlign w:val="bottom"/>
          </w:tcPr>
          <w:p>
            <w:pPr>
              <w:spacing w:after="0"/>
              <w:rPr>
                <w:sz w:val="15"/>
                <w:szCs w:val="15"/>
                <w:color w:val="auto"/>
              </w:rPr>
            </w:pPr>
          </w:p>
        </w:tc>
        <w:tc>
          <w:tcPr>
            <w:tcW w:w="560" w:type="dxa"/>
            <w:vAlign w:val="bottom"/>
          </w:tcPr>
          <w:p>
            <w:pPr>
              <w:jc w:val="center"/>
              <w:ind w:right="8"/>
              <w:spacing w:after="0"/>
              <w:rPr>
                <w:sz w:val="20"/>
                <w:szCs w:val="20"/>
                <w:color w:val="auto"/>
              </w:rPr>
            </w:pPr>
            <w:r>
              <w:rPr>
                <w:rFonts w:ascii="Arial" w:cs="Arial" w:eastAsia="Arial" w:hAnsi="Arial"/>
                <w:sz w:val="14"/>
                <w:szCs w:val="14"/>
                <w:b w:val="1"/>
                <w:bCs w:val="1"/>
                <w:color w:val="auto"/>
              </w:rPr>
              <w:t>Price</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8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6"/>
              </w:rPr>
              <w:t>Vested</w:t>
            </w:r>
            <w:r>
              <w:rPr>
                <w:rFonts w:ascii="Arial" w:cs="Arial" w:eastAsia="Arial" w:hAnsi="Arial"/>
                <w:sz w:val="20"/>
                <w:szCs w:val="20"/>
                <w:b w:val="1"/>
                <w:bCs w:val="1"/>
                <w:color w:val="auto"/>
                <w:w w:val="96"/>
                <w:vertAlign w:val="superscript"/>
              </w:rPr>
              <w:t>(3)</w:t>
            </w:r>
          </w:p>
        </w:tc>
        <w:tc>
          <w:tcPr>
            <w:tcW w:w="140" w:type="dxa"/>
            <w:vAlign w:val="bottom"/>
          </w:tcPr>
          <w:p>
            <w:pPr>
              <w:spacing w:after="0"/>
              <w:rPr>
                <w:sz w:val="15"/>
                <w:szCs w:val="15"/>
                <w:color w:val="auto"/>
              </w:rPr>
            </w:pPr>
          </w:p>
        </w:tc>
        <w:tc>
          <w:tcPr>
            <w:tcW w:w="880" w:type="dxa"/>
            <w:vAlign w:val="bottom"/>
            <w:gridSpan w:val="2"/>
          </w:tcPr>
          <w:p>
            <w:pPr>
              <w:jc w:val="center"/>
              <w:ind w:right="280"/>
              <w:spacing w:after="0" w:line="176" w:lineRule="exact"/>
              <w:rPr>
                <w:sz w:val="20"/>
                <w:szCs w:val="20"/>
                <w:color w:val="auto"/>
              </w:rPr>
            </w:pPr>
            <w:r>
              <w:rPr>
                <w:rFonts w:ascii="Arial" w:cs="Arial" w:eastAsia="Arial" w:hAnsi="Arial"/>
                <w:sz w:val="14"/>
                <w:szCs w:val="14"/>
                <w:b w:val="1"/>
                <w:bCs w:val="1"/>
                <w:color w:val="auto"/>
                <w:w w:val="96"/>
              </w:rPr>
              <w:t>Vested</w:t>
            </w:r>
            <w:r>
              <w:rPr>
                <w:rFonts w:ascii="Arial" w:cs="Arial" w:eastAsia="Arial" w:hAnsi="Arial"/>
                <w:sz w:val="20"/>
                <w:szCs w:val="20"/>
                <w:b w:val="1"/>
                <w:bCs w:val="1"/>
                <w:color w:val="auto"/>
                <w:w w:val="96"/>
                <w:vertAlign w:val="superscript"/>
              </w:rPr>
              <w:t>(4)</w:t>
            </w:r>
          </w:p>
        </w:tc>
        <w:tc>
          <w:tcPr>
            <w:tcW w:w="0" w:type="dxa"/>
            <w:vAlign w:val="bottom"/>
          </w:tcPr>
          <w:p>
            <w:pPr>
              <w:spacing w:after="0"/>
              <w:rPr>
                <w:sz w:val="1"/>
                <w:szCs w:val="1"/>
                <w:color w:val="auto"/>
              </w:rPr>
            </w:pPr>
          </w:p>
        </w:tc>
      </w:tr>
      <w:tr>
        <w:trPr>
          <w:trHeight w:val="196"/>
        </w:trPr>
        <w:tc>
          <w:tcPr>
            <w:tcW w:w="2380" w:type="dxa"/>
            <w:vAlign w:val="bottom"/>
            <w:gridSpan w:val="2"/>
          </w:tcPr>
          <w:p>
            <w:pPr>
              <w:ind w:left="1140"/>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Michael J.</w:t>
            </w: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Hoffman</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1993 Stock Option</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Plan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35,804</w:t>
            </w: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$ 16.1375</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12/04/2012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2000 Stock Option</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Plan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17,308</w:t>
            </w: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8.4063</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12/05/2010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11,892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8.4063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12/05/2010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39,536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$ 11.8125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$ 11.8125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6,196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$ 16.1375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12,417</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14,583</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12/02/2014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57,700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11/30/2015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50,600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11/30/2016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20,934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41,866</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11/28/2017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98"/>
              </w:rPr>
              <w:t>PSP—F08-F10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740,400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8"/>
              </w:rPr>
              <w:t>PSP—F09-F11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$ 1,092,090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1140"/>
              <w:spacing w:after="0"/>
              <w:rPr>
                <w:sz w:val="20"/>
                <w:szCs w:val="20"/>
                <w:color w:val="auto"/>
              </w:rPr>
            </w:pPr>
            <w:r>
              <w:rPr>
                <w:rFonts w:ascii="Arial" w:cs="Arial" w:eastAsia="Arial" w:hAnsi="Arial"/>
                <w:sz w:val="14"/>
                <w:szCs w:val="14"/>
                <w:color w:val="auto"/>
              </w:rPr>
              <w:t>Stephen P. Wolfe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1140"/>
              <w:spacing w:after="0"/>
              <w:rPr>
                <w:sz w:val="20"/>
                <w:szCs w:val="20"/>
                <w:color w:val="auto"/>
              </w:rPr>
            </w:pPr>
            <w:r>
              <w:rPr>
                <w:rFonts w:ascii="Arial" w:cs="Arial" w:eastAsia="Arial" w:hAnsi="Arial"/>
                <w:sz w:val="14"/>
                <w:szCs w:val="14"/>
                <w:color w:val="auto"/>
              </w:rPr>
              <w:t>2000 Stock Option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1140"/>
              <w:spacing w:after="0"/>
              <w:rPr>
                <w:sz w:val="20"/>
                <w:szCs w:val="20"/>
                <w:color w:val="auto"/>
              </w:rPr>
            </w:pPr>
            <w:r>
              <w:rPr>
                <w:rFonts w:ascii="Arial" w:cs="Arial" w:eastAsia="Arial" w:hAnsi="Arial"/>
                <w:sz w:val="14"/>
                <w:szCs w:val="14"/>
                <w:color w:val="auto"/>
              </w:rPr>
              <w:t>Plan</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1,292</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8.4063</w:t>
            </w:r>
          </w:p>
        </w:tc>
        <w:tc>
          <w:tcPr>
            <w:tcW w:w="860" w:type="dxa"/>
            <w:vAlign w:val="bottom"/>
          </w:tcPr>
          <w:p>
            <w:pPr>
              <w:jc w:val="right"/>
              <w:spacing w:after="0"/>
              <w:rPr>
                <w:sz w:val="20"/>
                <w:szCs w:val="20"/>
                <w:color w:val="auto"/>
              </w:rPr>
            </w:pPr>
            <w:r>
              <w:rPr>
                <w:rFonts w:ascii="Arial" w:cs="Arial" w:eastAsia="Arial" w:hAnsi="Arial"/>
                <w:sz w:val="14"/>
                <w:szCs w:val="14"/>
                <w:color w:val="auto"/>
              </w:rPr>
              <w:t>12/05/2010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8,464</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$ 11.8125</w:t>
            </w:r>
          </w:p>
        </w:tc>
        <w:tc>
          <w:tcPr>
            <w:tcW w:w="860" w:type="dxa"/>
            <w:vAlign w:val="bottom"/>
          </w:tcPr>
          <w:p>
            <w:pPr>
              <w:jc w:val="right"/>
              <w:spacing w:after="0"/>
              <w:rPr>
                <w:sz w:val="20"/>
                <w:szCs w:val="20"/>
                <w:color w:val="auto"/>
              </w:rPr>
            </w:pPr>
            <w:r>
              <w:rPr>
                <w:rFonts w:ascii="Arial" w:cs="Arial" w:eastAsia="Arial" w:hAnsi="Arial"/>
                <w:sz w:val="14"/>
                <w:szCs w:val="14"/>
                <w:color w:val="auto"/>
              </w:rPr>
              <w:t>12/04/2011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6,196</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$ 16.1375</w:t>
            </w:r>
          </w:p>
        </w:tc>
        <w:tc>
          <w:tcPr>
            <w:tcW w:w="860" w:type="dxa"/>
            <w:vAlign w:val="bottom"/>
          </w:tcPr>
          <w:p>
            <w:pPr>
              <w:jc w:val="right"/>
              <w:spacing w:after="0"/>
              <w:rPr>
                <w:sz w:val="20"/>
                <w:szCs w:val="20"/>
                <w:color w:val="auto"/>
              </w:rPr>
            </w:pPr>
            <w:r>
              <w:rPr>
                <w:rFonts w:ascii="Arial" w:cs="Arial" w:eastAsia="Arial" w:hAnsi="Arial"/>
                <w:sz w:val="14"/>
                <w:szCs w:val="14"/>
                <w:color w:val="auto"/>
              </w:rPr>
              <w:t>12/04/2012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12,417</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24.16</w:t>
            </w:r>
          </w:p>
        </w:tc>
        <w:tc>
          <w:tcPr>
            <w:tcW w:w="860" w:type="dxa"/>
            <w:vAlign w:val="bottom"/>
          </w:tcPr>
          <w:p>
            <w:pPr>
              <w:jc w:val="right"/>
              <w:spacing w:after="0"/>
              <w:rPr>
                <w:sz w:val="20"/>
                <w:szCs w:val="20"/>
                <w:color w:val="auto"/>
              </w:rPr>
            </w:pPr>
            <w:r>
              <w:rPr>
                <w:rFonts w:ascii="Arial" w:cs="Arial" w:eastAsia="Arial" w:hAnsi="Arial"/>
                <w:sz w:val="14"/>
                <w:szCs w:val="14"/>
                <w:color w:val="auto"/>
              </w:rPr>
              <w:t>12/04/2013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16,583</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24.16</w:t>
            </w:r>
          </w:p>
        </w:tc>
        <w:tc>
          <w:tcPr>
            <w:tcW w:w="860" w:type="dxa"/>
            <w:vAlign w:val="bottom"/>
          </w:tcPr>
          <w:p>
            <w:pPr>
              <w:jc w:val="right"/>
              <w:spacing w:after="0"/>
              <w:rPr>
                <w:sz w:val="20"/>
                <w:szCs w:val="20"/>
                <w:color w:val="auto"/>
              </w:rPr>
            </w:pPr>
            <w:r>
              <w:rPr>
                <w:rFonts w:ascii="Arial" w:cs="Arial" w:eastAsia="Arial" w:hAnsi="Arial"/>
                <w:sz w:val="14"/>
                <w:szCs w:val="14"/>
                <w:color w:val="auto"/>
              </w:rPr>
              <w:t>12/04/2013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21,400</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37.02</w:t>
            </w:r>
          </w:p>
        </w:tc>
        <w:tc>
          <w:tcPr>
            <w:tcW w:w="860" w:type="dxa"/>
            <w:vAlign w:val="bottom"/>
          </w:tcPr>
          <w:p>
            <w:pPr>
              <w:jc w:val="right"/>
              <w:spacing w:after="0"/>
              <w:rPr>
                <w:sz w:val="20"/>
                <w:szCs w:val="20"/>
                <w:color w:val="auto"/>
              </w:rPr>
            </w:pPr>
            <w:r>
              <w:rPr>
                <w:rFonts w:ascii="Arial" w:cs="Arial" w:eastAsia="Arial" w:hAnsi="Arial"/>
                <w:sz w:val="14"/>
                <w:szCs w:val="14"/>
                <w:color w:val="auto"/>
              </w:rPr>
              <w:t>12/02/2014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21,000</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40.19</w:t>
            </w:r>
          </w:p>
        </w:tc>
        <w:tc>
          <w:tcPr>
            <w:tcW w:w="860" w:type="dxa"/>
            <w:vAlign w:val="bottom"/>
          </w:tcPr>
          <w:p>
            <w:pPr>
              <w:jc w:val="right"/>
              <w:spacing w:after="0"/>
              <w:rPr>
                <w:sz w:val="20"/>
                <w:szCs w:val="20"/>
                <w:color w:val="auto"/>
              </w:rPr>
            </w:pPr>
            <w:r>
              <w:rPr>
                <w:rFonts w:ascii="Arial" w:cs="Arial" w:eastAsia="Arial" w:hAnsi="Arial"/>
                <w:sz w:val="14"/>
                <w:szCs w:val="14"/>
                <w:color w:val="auto"/>
              </w:rPr>
              <w:t>11/30/2015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14,600</w:t>
            </w:r>
          </w:p>
        </w:tc>
        <w:tc>
          <w:tcPr>
            <w:tcW w:w="1200" w:type="dxa"/>
            <w:vAlign w:val="bottom"/>
          </w:tcPr>
          <w:p>
            <w:pPr>
              <w:jc w:val="right"/>
              <w:spacing w:after="0"/>
              <w:rPr>
                <w:sz w:val="20"/>
                <w:szCs w:val="20"/>
                <w:color w:val="auto"/>
              </w:rPr>
            </w:pPr>
            <w:r>
              <w:rPr>
                <w:rFonts w:ascii="Arial" w:cs="Arial" w:eastAsia="Arial" w:hAnsi="Arial"/>
                <w:sz w:val="14"/>
                <w:szCs w:val="14"/>
                <w:color w:val="auto"/>
              </w:rPr>
              <w:t>7,300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44.90</w:t>
            </w:r>
          </w:p>
        </w:tc>
        <w:tc>
          <w:tcPr>
            <w:tcW w:w="860" w:type="dxa"/>
            <w:vAlign w:val="bottom"/>
          </w:tcPr>
          <w:p>
            <w:pPr>
              <w:jc w:val="right"/>
              <w:spacing w:after="0"/>
              <w:rPr>
                <w:sz w:val="20"/>
                <w:szCs w:val="20"/>
                <w:color w:val="auto"/>
              </w:rPr>
            </w:pPr>
            <w:r>
              <w:rPr>
                <w:rFonts w:ascii="Arial" w:cs="Arial" w:eastAsia="Arial" w:hAnsi="Arial"/>
                <w:sz w:val="14"/>
                <w:szCs w:val="14"/>
                <w:color w:val="auto"/>
              </w:rPr>
              <w:t>11/30/2016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5,800</w:t>
            </w:r>
          </w:p>
        </w:tc>
        <w:tc>
          <w:tcPr>
            <w:tcW w:w="1200" w:type="dxa"/>
            <w:vAlign w:val="bottom"/>
          </w:tcPr>
          <w:p>
            <w:pPr>
              <w:jc w:val="right"/>
              <w:spacing w:after="0"/>
              <w:rPr>
                <w:sz w:val="20"/>
                <w:szCs w:val="20"/>
                <w:color w:val="auto"/>
              </w:rPr>
            </w:pPr>
            <w:r>
              <w:rPr>
                <w:rFonts w:ascii="Arial" w:cs="Arial" w:eastAsia="Arial" w:hAnsi="Arial"/>
                <w:sz w:val="14"/>
                <w:szCs w:val="14"/>
                <w:color w:val="auto"/>
              </w:rPr>
              <w:t>11,600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54.93</w:t>
            </w:r>
          </w:p>
        </w:tc>
        <w:tc>
          <w:tcPr>
            <w:tcW w:w="860" w:type="dxa"/>
            <w:vAlign w:val="bottom"/>
          </w:tcPr>
          <w:p>
            <w:pPr>
              <w:jc w:val="right"/>
              <w:spacing w:after="0"/>
              <w:rPr>
                <w:sz w:val="20"/>
                <w:szCs w:val="20"/>
                <w:color w:val="auto"/>
              </w:rPr>
            </w:pPr>
            <w:r>
              <w:rPr>
                <w:rFonts w:ascii="Arial" w:cs="Arial" w:eastAsia="Arial" w:hAnsi="Arial"/>
                <w:sz w:val="14"/>
                <w:szCs w:val="14"/>
                <w:color w:val="auto"/>
              </w:rPr>
              <w:t>11/28/2017</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PSP—F08-F10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1200" w:type="dxa"/>
            <w:vAlign w:val="bottom"/>
          </w:tcPr>
          <w:p>
            <w:pPr>
              <w:jc w:val="right"/>
              <w:spacing w:after="0"/>
              <w:rPr>
                <w:sz w:val="20"/>
                <w:szCs w:val="20"/>
                <w:color w:val="auto"/>
              </w:rPr>
            </w:pPr>
            <w:r>
              <w:rPr>
                <w:rFonts w:ascii="Arial" w:cs="Arial" w:eastAsia="Arial" w:hAnsi="Arial"/>
                <w:sz w:val="14"/>
                <w:szCs w:val="14"/>
                <w:color w:val="auto"/>
              </w:rPr>
              <w:t>24,200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28.62</w:t>
            </w:r>
          </w:p>
        </w:tc>
        <w:tc>
          <w:tcPr>
            <w:tcW w:w="860" w:type="dxa"/>
            <w:vAlign w:val="bottom"/>
          </w:tcPr>
          <w:p>
            <w:pPr>
              <w:jc w:val="right"/>
              <w:spacing w:after="0"/>
              <w:rPr>
                <w:sz w:val="20"/>
                <w:szCs w:val="20"/>
                <w:color w:val="auto"/>
              </w:rPr>
            </w:pPr>
            <w:r>
              <w:rPr>
                <w:rFonts w:ascii="Arial" w:cs="Arial" w:eastAsia="Arial" w:hAnsi="Arial"/>
                <w:sz w:val="14"/>
                <w:szCs w:val="14"/>
                <w:color w:val="auto"/>
              </w:rPr>
              <w:t>12/03/2018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5,500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203,610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380" w:type="dxa"/>
            <w:vAlign w:val="bottom"/>
            <w:gridSpan w:val="2"/>
          </w:tcPr>
          <w:p>
            <w:pPr>
              <w:jc w:val="right"/>
              <w:ind w:right="188"/>
              <w:spacing w:after="0" w:line="157" w:lineRule="exact"/>
              <w:rPr>
                <w:sz w:val="20"/>
                <w:szCs w:val="20"/>
                <w:color w:val="auto"/>
              </w:rPr>
            </w:pPr>
            <w:r>
              <w:rPr>
                <w:rFonts w:ascii="Arial" w:cs="Arial" w:eastAsia="Arial" w:hAnsi="Arial"/>
                <w:sz w:val="14"/>
                <w:szCs w:val="14"/>
                <w:color w:val="auto"/>
              </w:rPr>
              <w:t>PSP—F09-F11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7,700</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285,054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Peter M. Ramstad</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2000 Stock Option</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Plan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5,333</w:t>
            </w: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2,667</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44.90</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11/30/2016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11/30/2016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11/28/2017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98"/>
              </w:rPr>
              <w:t>PSP—F08-F10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107,358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8"/>
              </w:rPr>
              <w:t>PSP—F09-F11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gridSpan w:val="2"/>
          </w:tcPr>
          <w:p>
            <w:pPr>
              <w:ind w:left="1140"/>
              <w:spacing w:after="0"/>
              <w:rPr>
                <w:sz w:val="20"/>
                <w:szCs w:val="20"/>
                <w:color w:val="auto"/>
              </w:rPr>
            </w:pPr>
            <w:r>
              <w:rPr>
                <w:rFonts w:ascii="Arial" w:cs="Arial" w:eastAsia="Arial" w:hAnsi="Arial"/>
                <w:sz w:val="14"/>
                <w:szCs w:val="14"/>
                <w:color w:val="auto"/>
              </w:rPr>
              <w:t>Timothy P. Dordell</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1140"/>
              <w:spacing w:after="0"/>
              <w:rPr>
                <w:sz w:val="20"/>
                <w:szCs w:val="20"/>
                <w:color w:val="auto"/>
              </w:rPr>
            </w:pPr>
            <w:r>
              <w:rPr>
                <w:rFonts w:ascii="Arial" w:cs="Arial" w:eastAsia="Arial" w:hAnsi="Arial"/>
                <w:sz w:val="14"/>
                <w:szCs w:val="14"/>
                <w:color w:val="auto"/>
              </w:rPr>
              <w:t>2000 Stock Option</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1140"/>
              <w:spacing w:after="0"/>
              <w:rPr>
                <w:sz w:val="20"/>
                <w:szCs w:val="20"/>
                <w:color w:val="auto"/>
              </w:rPr>
            </w:pPr>
            <w:r>
              <w:rPr>
                <w:rFonts w:ascii="Arial" w:cs="Arial" w:eastAsia="Arial" w:hAnsi="Arial"/>
                <w:sz w:val="14"/>
                <w:szCs w:val="14"/>
                <w:color w:val="auto"/>
              </w:rPr>
              <w:t>Plan</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5,670</w:t>
            </w:r>
          </w:p>
        </w:tc>
        <w:tc>
          <w:tcPr>
            <w:tcW w:w="1200" w:type="dxa"/>
            <w:vAlign w:val="bottom"/>
          </w:tcPr>
          <w:p>
            <w:pPr>
              <w:jc w:val="right"/>
              <w:spacing w:after="0"/>
              <w:rPr>
                <w:sz w:val="20"/>
                <w:szCs w:val="20"/>
                <w:color w:val="auto"/>
              </w:rPr>
            </w:pPr>
            <w:r>
              <w:rPr>
                <w:rFonts w:ascii="Arial" w:cs="Arial" w:eastAsia="Arial" w:hAnsi="Arial"/>
                <w:sz w:val="14"/>
                <w:szCs w:val="14"/>
                <w:color w:val="auto"/>
              </w:rPr>
              <w:t>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42.33</w:t>
            </w:r>
          </w:p>
        </w:tc>
        <w:tc>
          <w:tcPr>
            <w:tcW w:w="860" w:type="dxa"/>
            <w:vAlign w:val="bottom"/>
          </w:tcPr>
          <w:p>
            <w:pPr>
              <w:jc w:val="right"/>
              <w:spacing w:after="0"/>
              <w:rPr>
                <w:sz w:val="20"/>
                <w:szCs w:val="20"/>
                <w:color w:val="auto"/>
              </w:rPr>
            </w:pPr>
            <w:r>
              <w:rPr>
                <w:rFonts w:ascii="Arial" w:cs="Arial" w:eastAsia="Arial" w:hAnsi="Arial"/>
                <w:sz w:val="14"/>
                <w:szCs w:val="14"/>
                <w:color w:val="auto"/>
              </w:rPr>
              <w:t>09/19/2016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6,200</w:t>
            </w:r>
          </w:p>
        </w:tc>
        <w:tc>
          <w:tcPr>
            <w:tcW w:w="1200" w:type="dxa"/>
            <w:vAlign w:val="bottom"/>
          </w:tcPr>
          <w:p>
            <w:pPr>
              <w:jc w:val="right"/>
              <w:spacing w:after="0"/>
              <w:rPr>
                <w:sz w:val="20"/>
                <w:szCs w:val="20"/>
                <w:color w:val="auto"/>
              </w:rPr>
            </w:pPr>
            <w:r>
              <w:rPr>
                <w:rFonts w:ascii="Arial" w:cs="Arial" w:eastAsia="Arial" w:hAnsi="Arial"/>
                <w:sz w:val="14"/>
                <w:szCs w:val="14"/>
                <w:color w:val="auto"/>
              </w:rPr>
              <w:t>3,100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44.90</w:t>
            </w:r>
          </w:p>
        </w:tc>
        <w:tc>
          <w:tcPr>
            <w:tcW w:w="860" w:type="dxa"/>
            <w:vAlign w:val="bottom"/>
          </w:tcPr>
          <w:p>
            <w:pPr>
              <w:jc w:val="right"/>
              <w:spacing w:after="0"/>
              <w:rPr>
                <w:sz w:val="20"/>
                <w:szCs w:val="20"/>
                <w:color w:val="auto"/>
              </w:rPr>
            </w:pPr>
            <w:r>
              <w:rPr>
                <w:rFonts w:ascii="Arial" w:cs="Arial" w:eastAsia="Arial" w:hAnsi="Arial"/>
                <w:sz w:val="14"/>
                <w:szCs w:val="14"/>
                <w:color w:val="auto"/>
              </w:rPr>
              <w:t>11/30/2016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3,500</w:t>
            </w:r>
          </w:p>
        </w:tc>
        <w:tc>
          <w:tcPr>
            <w:tcW w:w="1200" w:type="dxa"/>
            <w:vAlign w:val="bottom"/>
          </w:tcPr>
          <w:p>
            <w:pPr>
              <w:jc w:val="right"/>
              <w:spacing w:after="0"/>
              <w:rPr>
                <w:sz w:val="20"/>
                <w:szCs w:val="20"/>
                <w:color w:val="auto"/>
              </w:rPr>
            </w:pPr>
            <w:r>
              <w:rPr>
                <w:rFonts w:ascii="Arial" w:cs="Arial" w:eastAsia="Arial" w:hAnsi="Arial"/>
                <w:sz w:val="14"/>
                <w:szCs w:val="14"/>
                <w:color w:val="auto"/>
              </w:rPr>
              <w:t>7,000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54.93</w:t>
            </w:r>
          </w:p>
        </w:tc>
        <w:tc>
          <w:tcPr>
            <w:tcW w:w="860" w:type="dxa"/>
            <w:vAlign w:val="bottom"/>
          </w:tcPr>
          <w:p>
            <w:pPr>
              <w:jc w:val="right"/>
              <w:spacing w:after="0"/>
              <w:rPr>
                <w:sz w:val="20"/>
                <w:szCs w:val="20"/>
                <w:color w:val="auto"/>
              </w:rPr>
            </w:pPr>
            <w:r>
              <w:rPr>
                <w:rFonts w:ascii="Arial" w:cs="Arial" w:eastAsia="Arial" w:hAnsi="Arial"/>
                <w:sz w:val="14"/>
                <w:szCs w:val="14"/>
                <w:color w:val="auto"/>
              </w:rPr>
              <w:t>11/28/2017</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PSP—F08-F10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1200" w:type="dxa"/>
            <w:vAlign w:val="bottom"/>
          </w:tcPr>
          <w:p>
            <w:pPr>
              <w:jc w:val="right"/>
              <w:spacing w:after="0"/>
              <w:rPr>
                <w:sz w:val="20"/>
                <w:szCs w:val="20"/>
                <w:color w:val="auto"/>
              </w:rPr>
            </w:pPr>
            <w:r>
              <w:rPr>
                <w:rFonts w:ascii="Arial" w:cs="Arial" w:eastAsia="Arial" w:hAnsi="Arial"/>
                <w:sz w:val="14"/>
                <w:szCs w:val="14"/>
                <w:color w:val="auto"/>
              </w:rPr>
              <w:t>17,500</w:t>
            </w:r>
          </w:p>
        </w:tc>
        <w:tc>
          <w:tcPr>
            <w:tcW w:w="9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28.62</w:t>
            </w:r>
          </w:p>
        </w:tc>
        <w:tc>
          <w:tcPr>
            <w:tcW w:w="860" w:type="dxa"/>
            <w:vAlign w:val="bottom"/>
          </w:tcPr>
          <w:p>
            <w:pPr>
              <w:jc w:val="right"/>
              <w:spacing w:after="0"/>
              <w:rPr>
                <w:sz w:val="20"/>
                <w:szCs w:val="20"/>
                <w:color w:val="auto"/>
              </w:rPr>
            </w:pPr>
            <w:r>
              <w:rPr>
                <w:rFonts w:ascii="Arial" w:cs="Arial" w:eastAsia="Arial" w:hAnsi="Arial"/>
                <w:sz w:val="14"/>
                <w:szCs w:val="14"/>
                <w:color w:val="auto"/>
              </w:rPr>
              <w:t>12/03/2018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3,300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122,166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380" w:type="dxa"/>
            <w:vAlign w:val="bottom"/>
            <w:gridSpan w:val="2"/>
          </w:tcPr>
          <w:p>
            <w:pPr>
              <w:jc w:val="right"/>
              <w:ind w:right="188"/>
              <w:spacing w:after="0" w:line="157" w:lineRule="exact"/>
              <w:rPr>
                <w:sz w:val="20"/>
                <w:szCs w:val="20"/>
                <w:color w:val="auto"/>
              </w:rPr>
            </w:pPr>
            <w:r>
              <w:rPr>
                <w:rFonts w:ascii="Arial" w:cs="Arial" w:eastAsia="Arial" w:hAnsi="Arial"/>
                <w:sz w:val="14"/>
                <w:szCs w:val="14"/>
                <w:color w:val="auto"/>
              </w:rPr>
              <w:t>PSP—F09-F11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5,600</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207,312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William E. Brown,</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Jr.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1993 Stock Option</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Plan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5,804</w:t>
            </w: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$ 16.1375</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12/04/2012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2000 Stock Option</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Plan</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3,936</w:t>
            </w:r>
          </w:p>
        </w:tc>
        <w:tc>
          <w:tcPr>
            <w:tcW w:w="1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$ 11.8125</w:t>
            </w:r>
          </w:p>
        </w:tc>
        <w:tc>
          <w:tcPr>
            <w:tcW w:w="8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12/04/2011</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8,464</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$ 11.8125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6,196</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$ 16.1375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12/04/2013</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12/02/2014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11/30/2015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11/30/2016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11/28/2017</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w w:val="98"/>
              </w:rPr>
              <w:t>PSP—F08-F10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12/03/2018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77,742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8"/>
              </w:rPr>
              <w:t>PSP—F09-F11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99,954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hanging="532"/>
        <w:spacing w:after="0" w:line="23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Options have a 10-year term and vest ratably in three approximately equal installments on each of the first, second and third year anniversaries of the date of grant, subject to</w:t>
      </w:r>
    </w:p>
    <w:p>
      <w:pPr>
        <w:sectPr>
          <w:pgSz w:w="11900" w:h="16838" w:orient="portrait"/>
          <w:cols w:equalWidth="0" w:num="1">
            <w:col w:w="10580"/>
          </w:cols>
          <w:pgMar w:left="240" w:top="143" w:right="1079" w:bottom="578" w:gutter="0" w:footer="0" w:header="0"/>
        </w:sectPr>
      </w:pPr>
    </w:p>
    <w:p>
      <w:pPr>
        <w:spacing w:after="0" w:line="20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43" w:right="1079" w:bottom="578"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spacing w:after="0" w:line="239" w:lineRule="auto"/>
        <w:rPr>
          <w:sz w:val="20"/>
          <w:szCs w:val="20"/>
          <w:color w:val="auto"/>
        </w:rPr>
      </w:pPr>
      <w:r>
        <w:rPr>
          <w:rFonts w:ascii="Arial" w:cs="Arial" w:eastAsia="Arial" w:hAnsi="Arial"/>
          <w:sz w:val="18"/>
          <w:szCs w:val="18"/>
          <w:color w:val="auto"/>
        </w:rPr>
        <w:t>the post-termination and change of control provisions as outlined in "Potential Payments Upon Termination or Change of Control" beginning on page 58. The vesting schedule for options unexercisable as of October 31, 2009, is provided in the table below.</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Option</w:t>
            </w: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7"/>
              </w:rPr>
              <w:t>Expiration</w:t>
            </w:r>
          </w:p>
        </w:tc>
      </w:tr>
      <w:tr>
        <w:trPr>
          <w:trHeight w:val="242"/>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Grant Date</w:t>
            </w:r>
          </w:p>
        </w:tc>
        <w:tc>
          <w:tcPr>
            <w:tcW w:w="3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11/28/2009 11/30/2009 12/3/2009 11/28/2010</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12/3/2010</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12/3/2011</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Date</w:t>
            </w:r>
          </w:p>
        </w:tc>
      </w:tr>
      <w:tr>
        <w:trPr>
          <w:trHeight w:val="203"/>
        </w:trPr>
        <w:tc>
          <w:tcPr>
            <w:tcW w:w="20" w:type="dxa"/>
            <w:vAlign w:val="bottom"/>
          </w:tcPr>
          <w:p>
            <w:pPr>
              <w:spacing w:after="0"/>
              <w:rPr>
                <w:sz w:val="17"/>
                <w:szCs w:val="17"/>
                <w:color w:val="auto"/>
              </w:rPr>
            </w:pPr>
          </w:p>
        </w:tc>
        <w:tc>
          <w:tcPr>
            <w:tcW w:w="1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Mr. Hoffman</w:t>
            </w: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11/30/2006</w:t>
            </w:r>
          </w:p>
        </w:tc>
        <w:tc>
          <w:tcPr>
            <w:tcW w:w="1140" w:type="dxa"/>
            <w:vAlign w:val="bottom"/>
            <w:tcBorders>
              <w:top w:val="single" w:sz="8" w:color="auto"/>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jc w:val="right"/>
              <w:ind w:right="1812"/>
              <w:spacing w:after="0" w:line="202" w:lineRule="exact"/>
              <w:rPr>
                <w:sz w:val="20"/>
                <w:szCs w:val="20"/>
                <w:color w:val="auto"/>
              </w:rPr>
            </w:pPr>
            <w:r>
              <w:rPr>
                <w:rFonts w:ascii="Arial" w:cs="Arial" w:eastAsia="Arial" w:hAnsi="Arial"/>
                <w:sz w:val="18"/>
                <w:szCs w:val="18"/>
                <w:color w:val="auto"/>
              </w:rPr>
              <w:t>25,300</w:t>
            </w:r>
          </w:p>
        </w:tc>
        <w:tc>
          <w:tcPr>
            <w:tcW w:w="9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11/28/2007</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20,933</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20,933</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11/28/2017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12/3/2008</w:t>
            </w:r>
          </w:p>
        </w:tc>
        <w:tc>
          <w:tcPr>
            <w:tcW w:w="11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52"/>
              <w:spacing w:after="0" w:line="202" w:lineRule="exact"/>
              <w:rPr>
                <w:sz w:val="20"/>
                <w:szCs w:val="20"/>
                <w:color w:val="auto"/>
              </w:rPr>
            </w:pPr>
            <w:r>
              <w:rPr>
                <w:rFonts w:ascii="Arial" w:cs="Arial" w:eastAsia="Arial" w:hAnsi="Arial"/>
                <w:sz w:val="18"/>
                <w:szCs w:val="18"/>
                <w:color w:val="auto"/>
              </w:rPr>
              <w:t>30,734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30,733</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30,733</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12/3/2018</w:t>
            </w:r>
          </w:p>
        </w:tc>
        <w:tc>
          <w:tcPr>
            <w:tcW w:w="160" w:type="dxa"/>
            <w:vAlign w:val="bottom"/>
            <w:shd w:val="clear" w:color="auto" w:fill="CCEEFF"/>
          </w:tcPr>
          <w:p>
            <w:pPr>
              <w:spacing w:after="0"/>
              <w:rPr>
                <w:sz w:val="17"/>
                <w:szCs w:val="17"/>
                <w:color w:val="auto"/>
              </w:rPr>
            </w:pPr>
          </w:p>
        </w:tc>
      </w:tr>
      <w:tr>
        <w:trPr>
          <w:trHeight w:val="206"/>
        </w:trPr>
        <w:tc>
          <w:tcPr>
            <w:tcW w:w="1100" w:type="dxa"/>
            <w:vAlign w:val="bottom"/>
            <w:gridSpan w:val="2"/>
          </w:tcPr>
          <w:p>
            <w:pPr>
              <w:spacing w:after="0" w:line="206" w:lineRule="exact"/>
              <w:rPr>
                <w:sz w:val="20"/>
                <w:szCs w:val="20"/>
                <w:color w:val="auto"/>
              </w:rPr>
            </w:pPr>
            <w:r>
              <w:rPr>
                <w:rFonts w:ascii="Arial" w:cs="Arial" w:eastAsia="Arial" w:hAnsi="Arial"/>
                <w:sz w:val="18"/>
                <w:szCs w:val="18"/>
                <w:color w:val="auto"/>
              </w:rPr>
              <w:t>Mr. Wolfe</w:t>
            </w:r>
          </w:p>
        </w:tc>
        <w:tc>
          <w:tcPr>
            <w:tcW w:w="1180" w:type="dxa"/>
            <w:vAlign w:val="bottom"/>
          </w:tcPr>
          <w:p>
            <w:pPr>
              <w:jc w:val="right"/>
              <w:spacing w:after="0" w:line="206" w:lineRule="exact"/>
              <w:rPr>
                <w:sz w:val="20"/>
                <w:szCs w:val="20"/>
                <w:color w:val="auto"/>
              </w:rPr>
            </w:pPr>
            <w:r>
              <w:rPr>
                <w:rFonts w:ascii="Arial" w:cs="Arial" w:eastAsia="Arial" w:hAnsi="Arial"/>
                <w:sz w:val="18"/>
                <w:szCs w:val="18"/>
                <w:color w:val="auto"/>
              </w:rPr>
              <w:t>11/30/2006</w:t>
            </w:r>
          </w:p>
        </w:tc>
        <w:tc>
          <w:tcPr>
            <w:tcW w:w="1140" w:type="dxa"/>
            <w:vAlign w:val="bottom"/>
          </w:tcPr>
          <w:p>
            <w:pPr>
              <w:spacing w:after="0"/>
              <w:rPr>
                <w:sz w:val="17"/>
                <w:szCs w:val="17"/>
                <w:color w:val="auto"/>
              </w:rPr>
            </w:pPr>
          </w:p>
        </w:tc>
        <w:tc>
          <w:tcPr>
            <w:tcW w:w="2660" w:type="dxa"/>
            <w:vAlign w:val="bottom"/>
          </w:tcPr>
          <w:p>
            <w:pPr>
              <w:jc w:val="right"/>
              <w:ind w:right="1812"/>
              <w:spacing w:after="0" w:line="206" w:lineRule="exact"/>
              <w:rPr>
                <w:sz w:val="20"/>
                <w:szCs w:val="20"/>
                <w:color w:val="auto"/>
              </w:rPr>
            </w:pPr>
            <w:r>
              <w:rPr>
                <w:rFonts w:ascii="Arial" w:cs="Arial" w:eastAsia="Arial" w:hAnsi="Arial"/>
                <w:sz w:val="18"/>
                <w:szCs w:val="18"/>
                <w:color w:val="auto"/>
              </w:rPr>
              <w:t>7,300</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Arial" w:cs="Arial" w:eastAsia="Arial" w:hAnsi="Arial"/>
                <w:sz w:val="18"/>
                <w:szCs w:val="18"/>
                <w:color w:val="auto"/>
              </w:rPr>
              <w:t>11/30/2016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11/28/2007</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5,800</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5,800</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11/28/2017</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12/3/2008</w:t>
            </w:r>
          </w:p>
        </w:tc>
        <w:tc>
          <w:tcPr>
            <w:tcW w:w="1140" w:type="dxa"/>
            <w:vAlign w:val="bottom"/>
          </w:tcPr>
          <w:p>
            <w:pPr>
              <w:spacing w:after="0"/>
              <w:rPr>
                <w:sz w:val="17"/>
                <w:szCs w:val="17"/>
                <w:color w:val="auto"/>
              </w:rPr>
            </w:pPr>
          </w:p>
        </w:tc>
        <w:tc>
          <w:tcPr>
            <w:tcW w:w="2660" w:type="dxa"/>
            <w:vAlign w:val="bottom"/>
          </w:tcPr>
          <w:p>
            <w:pPr>
              <w:jc w:val="right"/>
              <w:ind w:right="952"/>
              <w:spacing w:after="0" w:line="200" w:lineRule="exact"/>
              <w:rPr>
                <w:sz w:val="20"/>
                <w:szCs w:val="20"/>
                <w:color w:val="auto"/>
              </w:rPr>
            </w:pPr>
            <w:r>
              <w:rPr>
                <w:rFonts w:ascii="Arial" w:cs="Arial" w:eastAsia="Arial" w:hAnsi="Arial"/>
                <w:sz w:val="18"/>
                <w:szCs w:val="18"/>
                <w:color w:val="auto"/>
              </w:rPr>
              <w:t>8,067</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8,066</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8,067</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12/3/2018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Ramstad</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11/30/2006</w:t>
            </w:r>
          </w:p>
        </w:tc>
        <w:tc>
          <w:tcPr>
            <w:tcW w:w="11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1812"/>
              <w:spacing w:after="0" w:line="202" w:lineRule="exact"/>
              <w:rPr>
                <w:sz w:val="20"/>
                <w:szCs w:val="20"/>
                <w:color w:val="auto"/>
              </w:rPr>
            </w:pPr>
            <w:r>
              <w:rPr>
                <w:rFonts w:ascii="Arial" w:cs="Arial" w:eastAsia="Arial" w:hAnsi="Arial"/>
                <w:sz w:val="18"/>
                <w:szCs w:val="18"/>
                <w:color w:val="auto"/>
              </w:rPr>
              <w:t>2,667</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11/30/2006</w:t>
            </w:r>
          </w:p>
        </w:tc>
        <w:tc>
          <w:tcPr>
            <w:tcW w:w="11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1812"/>
              <w:spacing w:after="0" w:line="202" w:lineRule="exact"/>
              <w:rPr>
                <w:sz w:val="20"/>
                <w:szCs w:val="20"/>
                <w:color w:val="auto"/>
              </w:rPr>
            </w:pPr>
            <w:r>
              <w:rPr>
                <w:rFonts w:ascii="Arial" w:cs="Arial" w:eastAsia="Arial" w:hAnsi="Arial"/>
                <w:sz w:val="18"/>
                <w:szCs w:val="18"/>
                <w:color w:val="auto"/>
              </w:rPr>
              <w:t>2,800</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11/28/2007</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3,000</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11/28/2017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12/3/2008</w:t>
            </w:r>
          </w:p>
        </w:tc>
        <w:tc>
          <w:tcPr>
            <w:tcW w:w="11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52"/>
              <w:spacing w:after="0" w:line="202" w:lineRule="exact"/>
              <w:rPr>
                <w:sz w:val="20"/>
                <w:szCs w:val="20"/>
                <w:color w:val="auto"/>
              </w:rPr>
            </w:pPr>
            <w:r>
              <w:rPr>
                <w:rFonts w:ascii="Arial" w:cs="Arial" w:eastAsia="Arial" w:hAnsi="Arial"/>
                <w:sz w:val="18"/>
                <w:szCs w:val="18"/>
                <w:color w:val="auto"/>
              </w:rPr>
              <w:t>5,200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5,200</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12/3/2018</w:t>
            </w:r>
          </w:p>
        </w:tc>
        <w:tc>
          <w:tcPr>
            <w:tcW w:w="160" w:type="dxa"/>
            <w:vAlign w:val="bottom"/>
            <w:shd w:val="clear" w:color="auto" w:fill="CCEEFF"/>
          </w:tcPr>
          <w:p>
            <w:pPr>
              <w:spacing w:after="0"/>
              <w:rPr>
                <w:sz w:val="17"/>
                <w:szCs w:val="17"/>
                <w:color w:val="auto"/>
              </w:rPr>
            </w:pPr>
          </w:p>
        </w:tc>
      </w:tr>
      <w:tr>
        <w:trPr>
          <w:trHeight w:val="206"/>
        </w:trPr>
        <w:tc>
          <w:tcPr>
            <w:tcW w:w="1100" w:type="dxa"/>
            <w:vAlign w:val="bottom"/>
            <w:gridSpan w:val="2"/>
          </w:tcPr>
          <w:p>
            <w:pPr>
              <w:spacing w:after="0" w:line="206" w:lineRule="exact"/>
              <w:rPr>
                <w:sz w:val="20"/>
                <w:szCs w:val="20"/>
                <w:color w:val="auto"/>
              </w:rPr>
            </w:pPr>
            <w:r>
              <w:rPr>
                <w:rFonts w:ascii="Arial" w:cs="Arial" w:eastAsia="Arial" w:hAnsi="Arial"/>
                <w:sz w:val="18"/>
                <w:szCs w:val="18"/>
                <w:color w:val="auto"/>
              </w:rPr>
              <w:t>Mr. Dordell</w:t>
            </w:r>
          </w:p>
        </w:tc>
        <w:tc>
          <w:tcPr>
            <w:tcW w:w="1180" w:type="dxa"/>
            <w:vAlign w:val="bottom"/>
          </w:tcPr>
          <w:p>
            <w:pPr>
              <w:jc w:val="right"/>
              <w:spacing w:after="0" w:line="206" w:lineRule="exact"/>
              <w:rPr>
                <w:sz w:val="20"/>
                <w:szCs w:val="20"/>
                <w:color w:val="auto"/>
              </w:rPr>
            </w:pPr>
            <w:r>
              <w:rPr>
                <w:rFonts w:ascii="Arial" w:cs="Arial" w:eastAsia="Arial" w:hAnsi="Arial"/>
                <w:sz w:val="18"/>
                <w:szCs w:val="18"/>
                <w:color w:val="auto"/>
              </w:rPr>
              <w:t>11/30/2006</w:t>
            </w:r>
          </w:p>
        </w:tc>
        <w:tc>
          <w:tcPr>
            <w:tcW w:w="1140" w:type="dxa"/>
            <w:vAlign w:val="bottom"/>
          </w:tcPr>
          <w:p>
            <w:pPr>
              <w:spacing w:after="0"/>
              <w:rPr>
                <w:sz w:val="17"/>
                <w:szCs w:val="17"/>
                <w:color w:val="auto"/>
              </w:rPr>
            </w:pPr>
          </w:p>
        </w:tc>
        <w:tc>
          <w:tcPr>
            <w:tcW w:w="2660" w:type="dxa"/>
            <w:vAlign w:val="bottom"/>
          </w:tcPr>
          <w:p>
            <w:pPr>
              <w:jc w:val="right"/>
              <w:ind w:right="1812"/>
              <w:spacing w:after="0" w:line="206" w:lineRule="exact"/>
              <w:rPr>
                <w:sz w:val="20"/>
                <w:szCs w:val="20"/>
                <w:color w:val="auto"/>
              </w:rPr>
            </w:pPr>
            <w:r>
              <w:rPr>
                <w:rFonts w:ascii="Arial" w:cs="Arial" w:eastAsia="Arial" w:hAnsi="Arial"/>
                <w:sz w:val="18"/>
                <w:szCs w:val="18"/>
                <w:color w:val="auto"/>
              </w:rPr>
              <w:t>3,100</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Arial" w:cs="Arial" w:eastAsia="Arial" w:hAnsi="Arial"/>
                <w:sz w:val="18"/>
                <w:szCs w:val="18"/>
                <w:color w:val="auto"/>
              </w:rPr>
              <w:t>11/30/2016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11/28/2007</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3,500</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3,500</w:t>
            </w: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11/28/2017</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12/3/2008</w:t>
            </w:r>
          </w:p>
        </w:tc>
        <w:tc>
          <w:tcPr>
            <w:tcW w:w="1140" w:type="dxa"/>
            <w:vAlign w:val="bottom"/>
          </w:tcPr>
          <w:p>
            <w:pPr>
              <w:spacing w:after="0"/>
              <w:rPr>
                <w:sz w:val="17"/>
                <w:szCs w:val="17"/>
                <w:color w:val="auto"/>
              </w:rPr>
            </w:pPr>
          </w:p>
        </w:tc>
        <w:tc>
          <w:tcPr>
            <w:tcW w:w="2660" w:type="dxa"/>
            <w:vAlign w:val="bottom"/>
          </w:tcPr>
          <w:p>
            <w:pPr>
              <w:jc w:val="right"/>
              <w:ind w:right="952"/>
              <w:spacing w:after="0" w:line="200" w:lineRule="exact"/>
              <w:rPr>
                <w:sz w:val="20"/>
                <w:szCs w:val="20"/>
                <w:color w:val="auto"/>
              </w:rPr>
            </w:pPr>
            <w:r>
              <w:rPr>
                <w:rFonts w:ascii="Arial" w:cs="Arial" w:eastAsia="Arial" w:hAnsi="Arial"/>
                <w:sz w:val="18"/>
                <w:szCs w:val="18"/>
                <w:color w:val="auto"/>
              </w:rPr>
              <w:t>5,834</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5,833</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5,833</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12/3/2018</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11/30/2006</w:t>
            </w:r>
          </w:p>
        </w:tc>
        <w:tc>
          <w:tcPr>
            <w:tcW w:w="11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1812"/>
              <w:spacing w:after="0" w:line="202" w:lineRule="exact"/>
              <w:rPr>
                <w:sz w:val="20"/>
                <w:szCs w:val="20"/>
                <w:color w:val="auto"/>
              </w:rPr>
            </w:pPr>
            <w:r>
              <w:rPr>
                <w:rFonts w:ascii="Arial" w:cs="Arial" w:eastAsia="Arial" w:hAnsi="Arial"/>
                <w:sz w:val="18"/>
                <w:szCs w:val="18"/>
                <w:color w:val="auto"/>
              </w:rPr>
              <w:t>2,800</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11/30/2016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11/28/2007</w:t>
            </w:r>
          </w:p>
        </w:tc>
        <w:tc>
          <w:tcPr>
            <w:tcW w:w="11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2,200</w:t>
            </w:r>
          </w:p>
        </w:tc>
        <w:tc>
          <w:tcPr>
            <w:tcW w:w="2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2,200</w:t>
            </w: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11/28/2017</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12/3/2008</w:t>
            </w:r>
          </w:p>
        </w:tc>
        <w:tc>
          <w:tcPr>
            <w:tcW w:w="11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952"/>
              <w:spacing w:after="0" w:line="202" w:lineRule="exact"/>
              <w:rPr>
                <w:sz w:val="20"/>
                <w:szCs w:val="20"/>
                <w:color w:val="auto"/>
              </w:rPr>
            </w:pPr>
            <w:r>
              <w:rPr>
                <w:rFonts w:ascii="Arial" w:cs="Arial" w:eastAsia="Arial" w:hAnsi="Arial"/>
                <w:sz w:val="18"/>
                <w:szCs w:val="18"/>
                <w:color w:val="auto"/>
              </w:rPr>
              <w:t>2,767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2,767</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12/3/2018</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no option awards with performance vesting conditions.</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target performance share awards that are in progress.</w:t>
      </w:r>
    </w:p>
    <w:p>
      <w:pPr>
        <w:spacing w:after="0" w:line="198" w:lineRule="exact"/>
        <w:rPr>
          <w:rFonts w:ascii="Arial" w:cs="Arial" w:eastAsia="Arial" w:hAnsi="Arial"/>
          <w:sz w:val="18"/>
          <w:szCs w:val="18"/>
          <w:color w:val="auto"/>
        </w:rPr>
      </w:pPr>
    </w:p>
    <w:p>
      <w:pPr>
        <w:ind w:left="540" w:right="160" w:hanging="532"/>
        <w:spacing w:after="0" w:line="23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the value of target performance share awards that are in progress based on the closing price of our common stock, as reported on the NYSE on October 30, 2009, the last business day of fiscal 2009, of $37.02.</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30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0"/>
        </w:trPr>
        <w:tc>
          <w:tcPr>
            <w:tcW w:w="1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5760" w:type="dxa"/>
            <w:vAlign w:val="bottom"/>
            <w:gridSpan w:val="6"/>
          </w:tcPr>
          <w:p>
            <w:pPr>
              <w:jc w:val="center"/>
              <w:ind w:right="292"/>
              <w:spacing w:after="0"/>
              <w:rPr>
                <w:sz w:val="20"/>
                <w:szCs w:val="20"/>
                <w:color w:val="auto"/>
              </w:rPr>
            </w:pPr>
            <w:r>
              <w:rPr>
                <w:rFonts w:ascii="Arial" w:cs="Arial" w:eastAsia="Arial" w:hAnsi="Arial"/>
                <w:sz w:val="18"/>
                <w:szCs w:val="18"/>
                <w:b w:val="1"/>
                <w:bCs w:val="1"/>
                <w:color w:val="auto"/>
                <w:w w:val="97"/>
              </w:rPr>
              <w:t>Option Exercises and Stock Vested for Fiscal 2009</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40" w:type="dxa"/>
            <w:vAlign w:val="bottom"/>
            <w:tcBorders>
              <w:bottom w:val="single" w:sz="8" w:color="auto"/>
            </w:tcBorders>
            <w:gridSpan w:val="2"/>
          </w:tcPr>
          <w:p>
            <w:pPr>
              <w:jc w:val="center"/>
              <w:ind w:left="672"/>
              <w:spacing w:after="0"/>
              <w:rPr>
                <w:sz w:val="20"/>
                <w:szCs w:val="20"/>
                <w:color w:val="auto"/>
              </w:rPr>
            </w:pPr>
            <w:r>
              <w:rPr>
                <w:rFonts w:ascii="Arial" w:cs="Arial" w:eastAsia="Arial" w:hAnsi="Arial"/>
                <w:sz w:val="18"/>
                <w:szCs w:val="18"/>
                <w:b w:val="1"/>
                <w:bCs w:val="1"/>
                <w:color w:val="auto"/>
                <w:w w:val="96"/>
              </w:rPr>
              <w:t>Option Awards</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rPr>
              <w:t>Stock Awards</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6"/>
              </w:rPr>
              <w:t>Value Realized</w:t>
            </w:r>
          </w:p>
        </w:tc>
        <w:tc>
          <w:tcPr>
            <w:tcW w:w="160" w:type="dxa"/>
            <w:vAlign w:val="bottom"/>
          </w:tcPr>
          <w:p>
            <w:pPr>
              <w:spacing w:after="0"/>
              <w:rPr>
                <w:sz w:val="15"/>
                <w:szCs w:val="15"/>
                <w:color w:val="auto"/>
              </w:rPr>
            </w:pPr>
          </w:p>
        </w:tc>
        <w:tc>
          <w:tcPr>
            <w:tcW w:w="14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Value Realized</w:t>
            </w: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0" w:type="dxa"/>
            <w:vAlign w:val="bottom"/>
            <w:gridSpan w:val="2"/>
          </w:tcPr>
          <w:p>
            <w:pPr>
              <w:jc w:val="center"/>
              <w:ind w:left="1132"/>
              <w:spacing w:after="0" w:line="181" w:lineRule="exact"/>
              <w:rPr>
                <w:sz w:val="20"/>
                <w:szCs w:val="20"/>
                <w:color w:val="auto"/>
              </w:rPr>
            </w:pPr>
            <w:r>
              <w:rPr>
                <w:rFonts w:ascii="Arial" w:cs="Arial" w:eastAsia="Arial" w:hAnsi="Arial"/>
                <w:sz w:val="18"/>
                <w:szCs w:val="18"/>
                <w:b w:val="1"/>
                <w:bCs w:val="1"/>
                <w:color w:val="auto"/>
                <w:w w:val="96"/>
              </w:rPr>
              <w:t>Shares Acquired</w:t>
            </w:r>
          </w:p>
        </w:tc>
        <w:tc>
          <w:tcPr>
            <w:tcW w:w="1320" w:type="dxa"/>
            <w:vAlign w:val="bottom"/>
            <w:gridSpan w:val="2"/>
            <w:vMerge w:val="continue"/>
          </w:tcPr>
          <w:p>
            <w:pPr>
              <w:spacing w:after="0"/>
              <w:rPr>
                <w:sz w:val="15"/>
                <w:szCs w:val="15"/>
                <w:color w:val="auto"/>
              </w:rPr>
            </w:pPr>
          </w:p>
        </w:tc>
        <w:tc>
          <w:tcPr>
            <w:tcW w:w="16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7"/>
              </w:rPr>
              <w:t>Shares Acquired</w:t>
            </w:r>
          </w:p>
        </w:tc>
        <w:tc>
          <w:tcPr>
            <w:tcW w:w="1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80" w:type="dxa"/>
            <w:vAlign w:val="bottom"/>
          </w:tcPr>
          <w:p>
            <w:pPr>
              <w:jc w:val="center"/>
              <w:ind w:right="12"/>
              <w:spacing w:after="0"/>
              <w:rPr>
                <w:sz w:val="20"/>
                <w:szCs w:val="20"/>
                <w:color w:val="auto"/>
              </w:rPr>
            </w:pPr>
            <w:r>
              <w:rPr>
                <w:rFonts w:ascii="Arial" w:cs="Arial" w:eastAsia="Arial" w:hAnsi="Arial"/>
                <w:sz w:val="18"/>
                <w:szCs w:val="18"/>
                <w:b w:val="1"/>
                <w:bCs w:val="1"/>
                <w:color w:val="auto"/>
                <w:w w:val="97"/>
              </w:rPr>
              <w:t>On Exercise</w:t>
            </w:r>
          </w:p>
        </w:tc>
        <w:tc>
          <w:tcPr>
            <w:tcW w:w="1320" w:type="dxa"/>
            <w:vAlign w:val="bottom"/>
            <w:gridSpan w:val="2"/>
          </w:tcPr>
          <w:p>
            <w:pPr>
              <w:ind w:left="100"/>
              <w:spacing w:after="0" w:line="225" w:lineRule="exact"/>
              <w:rPr>
                <w:sz w:val="20"/>
                <w:szCs w:val="20"/>
                <w:color w:val="auto"/>
              </w:rPr>
            </w:pPr>
            <w:r>
              <w:rPr>
                <w:rFonts w:ascii="Arial" w:cs="Arial" w:eastAsia="Arial" w:hAnsi="Arial"/>
                <w:sz w:val="16"/>
                <w:szCs w:val="16"/>
                <w:b w:val="1"/>
                <w:bCs w:val="1"/>
                <w:color w:val="auto"/>
              </w:rPr>
              <w:t>On Exercise</w:t>
            </w:r>
            <w:r>
              <w:rPr>
                <w:rFonts w:ascii="Arial" w:cs="Arial" w:eastAsia="Arial" w:hAnsi="Arial"/>
                <w:sz w:val="26"/>
                <w:szCs w:val="26"/>
                <w:b w:val="1"/>
                <w:bCs w:val="1"/>
                <w:color w:val="auto"/>
                <w:vertAlign w:val="superscript"/>
              </w:rPr>
              <w:t>(1)</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on Vesting</w:t>
            </w:r>
          </w:p>
        </w:tc>
        <w:tc>
          <w:tcPr>
            <w:tcW w:w="1500" w:type="dxa"/>
            <w:vAlign w:val="bottom"/>
            <w:gridSpan w:val="3"/>
          </w:tcPr>
          <w:p>
            <w:pPr>
              <w:ind w:left="180"/>
              <w:spacing w:after="0" w:line="225" w:lineRule="exact"/>
              <w:rPr>
                <w:sz w:val="20"/>
                <w:szCs w:val="20"/>
                <w:color w:val="auto"/>
              </w:rPr>
            </w:pPr>
            <w:r>
              <w:rPr>
                <w:rFonts w:ascii="Arial" w:cs="Arial" w:eastAsia="Arial" w:hAnsi="Arial"/>
                <w:sz w:val="16"/>
                <w:szCs w:val="16"/>
                <w:b w:val="1"/>
                <w:bCs w:val="1"/>
                <w:color w:val="auto"/>
              </w:rPr>
              <w:t>on Vesting</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42"/>
        </w:trPr>
        <w:tc>
          <w:tcPr>
            <w:tcW w:w="3000" w:type="dxa"/>
            <w:vAlign w:val="bottom"/>
            <w:gridSpan w:val="3"/>
          </w:tcPr>
          <w:p>
            <w:pPr>
              <w:ind w:left="1140"/>
              <w:spacing w:after="0"/>
              <w:rPr>
                <w:sz w:val="20"/>
                <w:szCs w:val="20"/>
                <w:color w:val="auto"/>
              </w:rPr>
            </w:pPr>
            <w:r>
              <w:rPr>
                <w:rFonts w:ascii="Arial" w:cs="Arial" w:eastAsia="Arial" w:hAnsi="Arial"/>
                <w:sz w:val="18"/>
                <w:szCs w:val="18"/>
                <w:b w:val="1"/>
                <w:bCs w:val="1"/>
                <w:color w:val="auto"/>
              </w:rPr>
              <w:t>Name</w:t>
            </w:r>
          </w:p>
        </w:tc>
        <w:tc>
          <w:tcPr>
            <w:tcW w:w="2800" w:type="dxa"/>
            <w:vAlign w:val="bottom"/>
            <w:gridSpan w:val="2"/>
          </w:tcPr>
          <w:p>
            <w:pPr>
              <w:jc w:val="center"/>
              <w:ind w:left="1132"/>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spacing w:after="0"/>
              <w:rPr>
                <w:sz w:val="21"/>
                <w:szCs w:val="21"/>
                <w:color w:val="auto"/>
              </w:rPr>
            </w:pPr>
          </w:p>
        </w:tc>
        <w:tc>
          <w:tcPr>
            <w:tcW w:w="760" w:type="dxa"/>
            <w:vAlign w:val="bottom"/>
          </w:tcPr>
          <w:p>
            <w:pPr>
              <w:jc w:val="right"/>
              <w:ind w:right="432"/>
              <w:spacing w:after="0"/>
              <w:rPr>
                <w:sz w:val="20"/>
                <w:szCs w:val="20"/>
                <w:color w:val="auto"/>
              </w:rPr>
            </w:pPr>
            <w:r>
              <w:rPr>
                <w:rFonts w:ascii="Arial" w:cs="Arial" w:eastAsia="Arial" w:hAnsi="Arial"/>
                <w:sz w:val="18"/>
                <w:szCs w:val="18"/>
                <w:b w:val="1"/>
                <w:bCs w:val="1"/>
                <w:color w:val="auto"/>
                <w:w w:val="99"/>
              </w:rPr>
              <w:t>($)</w:t>
            </w:r>
          </w:p>
        </w:tc>
        <w:tc>
          <w:tcPr>
            <w:tcW w:w="16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spacing w:after="0"/>
              <w:rPr>
                <w:sz w:val="21"/>
                <w:szCs w:val="21"/>
                <w:color w:val="auto"/>
              </w:rPr>
            </w:pPr>
          </w:p>
        </w:tc>
        <w:tc>
          <w:tcPr>
            <w:tcW w:w="78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Hoffman</w:t>
            </w:r>
          </w:p>
        </w:tc>
        <w:tc>
          <w:tcPr>
            <w:tcW w:w="13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 Plan</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31,960</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850,117</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PSP</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8,841</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350,722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Stephen P. Wolfe</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Stock Option Plan</w:t>
            </w:r>
          </w:p>
        </w:tc>
        <w:tc>
          <w:tcPr>
            <w:tcW w:w="2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w:t>
            </w:r>
          </w:p>
        </w:tc>
        <w:tc>
          <w:tcPr>
            <w:tcW w:w="5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25,972</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0" w:type="dxa"/>
            <w:vAlign w:val="bottom"/>
            <w:gridSpan w:val="3"/>
          </w:tcPr>
          <w:p>
            <w:pPr>
              <w:ind w:left="1140"/>
              <w:spacing w:after="0" w:line="200" w:lineRule="exact"/>
              <w:rPr>
                <w:sz w:val="20"/>
                <w:szCs w:val="20"/>
                <w:color w:val="auto"/>
              </w:rPr>
            </w:pPr>
            <w:r>
              <w:rPr>
                <w:rFonts w:ascii="Arial" w:cs="Arial" w:eastAsia="Arial" w:hAnsi="Arial"/>
                <w:sz w:val="18"/>
                <w:szCs w:val="18"/>
                <w:color w:val="auto"/>
              </w:rPr>
              <w:t>PSP</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2,546</w:t>
            </w:r>
          </w:p>
        </w:tc>
        <w:tc>
          <w:tcPr>
            <w:tcW w:w="5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101,000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M. Ramstad</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 Plan</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PSP</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929</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18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Restricted Stock</w:t>
            </w:r>
            <w:r>
              <w:rPr>
                <w:rFonts w:ascii="Arial" w:cs="Arial" w:eastAsia="Arial" w:hAnsi="Arial"/>
                <w:sz w:val="28"/>
                <w:szCs w:val="28"/>
                <w:color w:val="auto"/>
                <w:vertAlign w:val="superscript"/>
              </w:rPr>
              <w:t>(3)</w:t>
            </w:r>
          </w:p>
        </w:tc>
        <w:tc>
          <w:tcPr>
            <w:tcW w:w="13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00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Timothy P. Dordell</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Stock Option Plan</w:t>
            </w:r>
          </w:p>
        </w:tc>
        <w:tc>
          <w:tcPr>
            <w:tcW w:w="2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5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PSP</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1,066</w:t>
            </w:r>
          </w:p>
        </w:tc>
        <w:tc>
          <w:tcPr>
            <w:tcW w:w="5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42,288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000" w:type="dxa"/>
            <w:vAlign w:val="bottom"/>
            <w:gridSpan w:val="3"/>
          </w:tcPr>
          <w:p>
            <w:pPr>
              <w:ind w:left="1140"/>
              <w:spacing w:after="0" w:line="240" w:lineRule="exact"/>
              <w:rPr>
                <w:sz w:val="20"/>
                <w:szCs w:val="20"/>
                <w:color w:val="auto"/>
              </w:rPr>
            </w:pPr>
            <w:r>
              <w:rPr>
                <w:rFonts w:ascii="Arial" w:cs="Arial" w:eastAsia="Arial" w:hAnsi="Arial"/>
                <w:sz w:val="17"/>
                <w:szCs w:val="17"/>
                <w:color w:val="auto"/>
              </w:rPr>
              <w:t>Restricted Stock</w:t>
            </w:r>
            <w:r>
              <w:rPr>
                <w:rFonts w:ascii="Arial" w:cs="Arial" w:eastAsia="Arial" w:hAnsi="Arial"/>
                <w:sz w:val="27"/>
                <w:szCs w:val="27"/>
                <w:color w:val="auto"/>
                <w:vertAlign w:val="superscript"/>
              </w:rPr>
              <w:t>(4)</w:t>
            </w: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2,620</w:t>
            </w: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81,927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E. Brown, Jr.</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 Plan</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11,600</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327,540</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PSP</w:t>
            </w: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998</w:t>
            </w:r>
          </w:p>
        </w:tc>
        <w:tc>
          <w:tcPr>
            <w:tcW w:w="5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right="60" w:hanging="532"/>
        <w:spacing w:after="0" w:line="23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the exercise date, less the exercise price, multiplied by the number of shares exercised.</w:t>
      </w:r>
    </w:p>
    <w:p>
      <w:pPr>
        <w:spacing w:after="0" w:line="208" w:lineRule="exact"/>
        <w:rPr>
          <w:rFonts w:ascii="Arial" w:cs="Arial" w:eastAsia="Arial" w:hAnsi="Arial"/>
          <w:sz w:val="18"/>
          <w:szCs w:val="18"/>
          <w:color w:val="auto"/>
        </w:rPr>
      </w:pPr>
    </w:p>
    <w:p>
      <w:pPr>
        <w:ind w:left="540" w:right="260" w:hanging="532"/>
        <w:spacing w:after="0" w:line="23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reported for PSP represents the closing price of our common stock, as reported on the NYSE on December 8, 2009 (the payout date for the fiscal 2007 to fiscal 2009 performance share awards) of $39.67, multiplied by the number of shares acquired.</w:t>
      </w:r>
    </w:p>
    <w:p>
      <w:pPr>
        <w:spacing w:after="0" w:line="195" w:lineRule="exact"/>
        <w:rPr>
          <w:rFonts w:ascii="Arial" w:cs="Arial" w:eastAsia="Arial" w:hAnsi="Arial"/>
          <w:sz w:val="18"/>
          <w:szCs w:val="18"/>
          <w:color w:val="auto"/>
        </w:rPr>
      </w:pPr>
    </w:p>
    <w:p>
      <w:pPr>
        <w:ind w:left="540" w:right="60" w:hanging="532"/>
        <w:spacing w:after="0" w:line="23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reported for restricted stock represents the closing price of our common stock, as reported on the NYSE on November 28, 2008 (the first business day following the vesting date for the restricted stock portion of the employment inducement award) of $28.44, multiplied by the number of shares acquired.</w:t>
      </w:r>
    </w:p>
    <w:p>
      <w:pPr>
        <w:spacing w:after="0" w:line="194" w:lineRule="exact"/>
        <w:rPr>
          <w:rFonts w:ascii="Arial" w:cs="Arial" w:eastAsia="Arial" w:hAnsi="Arial"/>
          <w:sz w:val="18"/>
          <w:szCs w:val="18"/>
          <w:color w:val="auto"/>
        </w:rPr>
      </w:pPr>
    </w:p>
    <w:p>
      <w:pPr>
        <w:ind w:left="540" w:hanging="532"/>
        <w:spacing w:after="0" w:line="299"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 reported for restricted stock represents the closing price of our common stock, as reported on the NYSE on November 6, 2008 (the vesting date for the restricted stock portion of the employment inducement award) of $31.27, multiplied by the number of shares acquired.</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Nonqualified Deferred Compensation for Fiscal 2009</w:t>
      </w:r>
    </w:p>
    <w:p>
      <w:pPr>
        <w:spacing w:after="0" w:line="234" w:lineRule="exact"/>
        <w:rPr>
          <w:sz w:val="20"/>
          <w:szCs w:val="20"/>
          <w:color w:val="auto"/>
        </w:rPr>
      </w:pPr>
    </w:p>
    <w:p>
      <w:pPr>
        <w:ind w:firstLine="387"/>
        <w:spacing w:after="0" w:line="236" w:lineRule="auto"/>
        <w:rPr>
          <w:sz w:val="20"/>
          <w:szCs w:val="20"/>
          <w:color w:val="auto"/>
        </w:rPr>
      </w:pPr>
      <w:r>
        <w:rPr>
          <w:rFonts w:ascii="Arial" w:cs="Arial" w:eastAsia="Arial" w:hAnsi="Arial"/>
          <w:sz w:val="18"/>
          <w:szCs w:val="18"/>
          <w:color w:val="auto"/>
        </w:rPr>
        <w:t>The following table reflects any named executive officer contributions and company contributions for fiscal 2009. The aggregate balance represents the total balance at October 31, 2009, the last day of fiscal year 2009, for the Deferred Compensation Plan, the Deferred Compensation Plan for Officers and the Supplemental Benefit Plan plus any named executive officer contributions or company contributions for fiscal 2009 that were paid after October 31, 2009. Information regarding the Deferred Compensation Plan, the Deferred Compensation Plan for Officers and the Supplemental Benefit Plan is included in the "Compensation Discussion and Analysis" under "Nonqualified Deferred Compensation Plans" on page 46.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235"/>
              <w:spacing w:after="0"/>
              <w:rPr>
                <w:sz w:val="20"/>
                <w:szCs w:val="20"/>
                <w:color w:val="auto"/>
              </w:rPr>
            </w:pPr>
            <w:r>
              <w:rPr>
                <w:rFonts w:ascii="Arial" w:cs="Arial" w:eastAsia="Arial" w:hAnsi="Arial"/>
                <w:sz w:val="14"/>
                <w:szCs w:val="14"/>
                <w:b w:val="1"/>
                <w:bCs w:val="1"/>
                <w:color w:val="auto"/>
              </w:rPr>
              <w:t>Executive</w:t>
            </w:r>
          </w:p>
        </w:tc>
        <w:tc>
          <w:tcPr>
            <w:tcW w:w="100" w:type="dxa"/>
            <w:vAlign w:val="bottom"/>
          </w:tcPr>
          <w:p>
            <w:pPr>
              <w:spacing w:after="0"/>
              <w:rPr>
                <w:sz w:val="15"/>
                <w:szCs w:val="15"/>
                <w:color w:val="auto"/>
              </w:rPr>
            </w:pPr>
          </w:p>
        </w:tc>
        <w:tc>
          <w:tcPr>
            <w:tcW w:w="1040" w:type="dxa"/>
            <w:vAlign w:val="bottom"/>
          </w:tcPr>
          <w:p>
            <w:pPr>
              <w:jc w:val="center"/>
              <w:ind w:right="95"/>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rPr>
              <w:t>Aggregate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Earnings in</w:t>
            </w:r>
          </w:p>
        </w:tc>
        <w:tc>
          <w:tcPr>
            <w:tcW w:w="20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ind w:right="235"/>
              <w:spacing w:after="0"/>
              <w:rPr>
                <w:sz w:val="20"/>
                <w:szCs w:val="20"/>
                <w:color w:val="auto"/>
              </w:rPr>
            </w:pPr>
            <w:r>
              <w:rPr>
                <w:rFonts w:ascii="Arial" w:cs="Arial" w:eastAsia="Arial" w:hAnsi="Arial"/>
                <w:sz w:val="14"/>
                <w:szCs w:val="14"/>
                <w:b w:val="1"/>
                <w:bCs w:val="1"/>
                <w:color w:val="auto"/>
              </w:rPr>
              <w:t>in Last FY</w:t>
            </w:r>
          </w:p>
        </w:tc>
        <w:tc>
          <w:tcPr>
            <w:tcW w:w="100" w:type="dxa"/>
            <w:vAlign w:val="bottom"/>
          </w:tcPr>
          <w:p>
            <w:pPr>
              <w:spacing w:after="0"/>
              <w:rPr>
                <w:sz w:val="15"/>
                <w:szCs w:val="15"/>
                <w:color w:val="auto"/>
              </w:rPr>
            </w:pPr>
          </w:p>
        </w:tc>
        <w:tc>
          <w:tcPr>
            <w:tcW w:w="1040" w:type="dxa"/>
            <w:vAlign w:val="bottom"/>
          </w:tcPr>
          <w:p>
            <w:pPr>
              <w:jc w:val="center"/>
              <w:ind w:right="95"/>
              <w:spacing w:after="0" w:line="176" w:lineRule="exact"/>
              <w:rPr>
                <w:sz w:val="20"/>
                <w:szCs w:val="20"/>
                <w:color w:val="auto"/>
              </w:rPr>
            </w:pPr>
            <w:r>
              <w:rPr>
                <w:rFonts w:ascii="Arial" w:cs="Arial" w:eastAsia="Arial" w:hAnsi="Arial"/>
                <w:sz w:val="14"/>
                <w:szCs w:val="14"/>
                <w:b w:val="1"/>
                <w:bCs w:val="1"/>
                <w:color w:val="auto"/>
                <w:w w:val="98"/>
              </w:rPr>
              <w:t>in Last FY</w:t>
            </w:r>
            <w:r>
              <w:rPr>
                <w:rFonts w:ascii="Arial" w:cs="Arial" w:eastAsia="Arial" w:hAnsi="Arial"/>
                <w:sz w:val="20"/>
                <w:szCs w:val="20"/>
                <w:b w:val="1"/>
                <w:bCs w:val="1"/>
                <w:color w:val="auto"/>
                <w:w w:val="98"/>
                <w:vertAlign w:val="superscript"/>
              </w:rPr>
              <w:t>(1)</w:t>
            </w:r>
          </w:p>
        </w:tc>
        <w:tc>
          <w:tcPr>
            <w:tcW w:w="180" w:type="dxa"/>
            <w:vAlign w:val="bottom"/>
          </w:tcPr>
          <w:p>
            <w:pPr>
              <w:spacing w:after="0"/>
              <w:rPr>
                <w:sz w:val="15"/>
                <w:szCs w:val="15"/>
                <w:color w:val="auto"/>
              </w:rPr>
            </w:pPr>
          </w:p>
        </w:tc>
        <w:tc>
          <w:tcPr>
            <w:tcW w:w="900" w:type="dxa"/>
            <w:vAlign w:val="bottom"/>
          </w:tcPr>
          <w:p>
            <w:pPr>
              <w:jc w:val="center"/>
              <w:ind w:right="115"/>
              <w:spacing w:after="0" w:line="176"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20"/>
                <w:szCs w:val="20"/>
                <w:b w:val="1"/>
                <w:bCs w:val="1"/>
                <w:color w:val="auto"/>
                <w:w w:val="98"/>
                <w:vertAlign w:val="superscript"/>
              </w:rPr>
              <w:t>(2)</w:t>
            </w:r>
          </w:p>
        </w:tc>
        <w:tc>
          <w:tcPr>
            <w:tcW w:w="200" w:type="dxa"/>
            <w:vAlign w:val="bottom"/>
          </w:tcPr>
          <w:p>
            <w:pPr>
              <w:spacing w:after="0"/>
              <w:rPr>
                <w:sz w:val="15"/>
                <w:szCs w:val="15"/>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Withdrawals/</w:t>
            </w: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96"/>
        </w:trPr>
        <w:tc>
          <w:tcPr>
            <w:tcW w:w="422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7"/>
                <w:szCs w:val="17"/>
                <w:color w:val="auto"/>
              </w:rPr>
            </w:pPr>
          </w:p>
        </w:tc>
        <w:tc>
          <w:tcPr>
            <w:tcW w:w="1120" w:type="dxa"/>
            <w:vAlign w:val="bottom"/>
          </w:tcPr>
          <w:p>
            <w:pPr>
              <w:jc w:val="center"/>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40" w:type="dxa"/>
            <w:vAlign w:val="bottom"/>
          </w:tcPr>
          <w:p>
            <w:pPr>
              <w:jc w:val="center"/>
              <w:ind w:right="9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00" w:type="dxa"/>
            <w:vAlign w:val="bottom"/>
          </w:tcPr>
          <w:p>
            <w:pPr>
              <w:jc w:val="center"/>
              <w:ind w:right="115"/>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Distributions ($)</w:t>
            </w:r>
          </w:p>
        </w:tc>
        <w:tc>
          <w:tcPr>
            <w:tcW w:w="180" w:type="dxa"/>
            <w:vAlign w:val="bottom"/>
          </w:tcPr>
          <w:p>
            <w:pPr>
              <w:spacing w:after="0"/>
              <w:rPr>
                <w:sz w:val="17"/>
                <w:szCs w:val="17"/>
                <w:color w:val="auto"/>
              </w:rPr>
            </w:pPr>
          </w:p>
        </w:tc>
        <w:tc>
          <w:tcPr>
            <w:tcW w:w="8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0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Hoffman</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Plan</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32,044</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222,809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Deferred Compensation Plan for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Officers</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0"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187,574</w:t>
            </w:r>
          </w:p>
        </w:tc>
        <w:tc>
          <w:tcPr>
            <w:tcW w:w="2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$ 1,731,458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Supplemental Benefit Plan</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64,349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137,389</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$ 1,139,223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Stephen P. Wolfe</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Deferred Compensation Plan</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80,283</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631,623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Deferred Compensation Plan for</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982,575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$ 9,069,930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gridSpan w:val="3"/>
          </w:tcPr>
          <w:p>
            <w:pPr>
              <w:ind w:left="1140"/>
              <w:spacing w:after="0" w:line="200" w:lineRule="exact"/>
              <w:rPr>
                <w:sz w:val="20"/>
                <w:szCs w:val="20"/>
                <w:color w:val="auto"/>
              </w:rPr>
            </w:pPr>
            <w:r>
              <w:rPr>
                <w:rFonts w:ascii="Arial" w:cs="Arial" w:eastAsia="Arial" w:hAnsi="Arial"/>
                <w:sz w:val="18"/>
                <w:szCs w:val="18"/>
                <w:color w:val="auto"/>
              </w:rPr>
              <w:t>Supplemental Benefit Plan</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200" w:lineRule="exact"/>
              <w:rPr>
                <w:sz w:val="20"/>
                <w:szCs w:val="20"/>
                <w:color w:val="auto"/>
              </w:rPr>
            </w:pPr>
            <w:r>
              <w:rPr>
                <w:rFonts w:ascii="Arial" w:cs="Arial" w:eastAsia="Arial" w:hAnsi="Arial"/>
                <w:sz w:val="18"/>
                <w:szCs w:val="18"/>
                <w:color w:val="auto"/>
              </w:rPr>
              <w:t>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15,923</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118,803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869,077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M. Ramstad</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Plan</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Deferred Compensation Plan for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Officers</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0"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Supplemental Benefit Plan</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2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Timothy P. Dordell</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23,943</w:t>
            </w:r>
            <w:r>
              <w:rPr>
                <w:rFonts w:ascii="Arial" w:cs="Arial" w:eastAsia="Arial" w:hAnsi="Arial"/>
                <w:sz w:val="29"/>
                <w:szCs w:val="29"/>
                <w:color w:val="auto"/>
                <w:vertAlign w:val="superscript"/>
              </w:rPr>
              <w:t>(3)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Deferred Compensation Plan</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vMerge w:val="continue"/>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2,379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26,322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Deferred Compensation Plan for</w:t>
            </w:r>
          </w:p>
        </w:tc>
        <w:tc>
          <w:tcPr>
            <w:tcW w:w="2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42,288</w:t>
            </w:r>
            <w:r>
              <w:rPr>
                <w:rFonts w:ascii="Arial" w:cs="Arial" w:eastAsia="Arial" w:hAnsi="Arial"/>
                <w:sz w:val="29"/>
                <w:szCs w:val="29"/>
                <w:color w:val="auto"/>
                <w:vertAlign w:val="superscript"/>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vMerge w:val="continue"/>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42,288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20" w:type="dxa"/>
            <w:vAlign w:val="bottom"/>
            <w:gridSpan w:val="3"/>
          </w:tcPr>
          <w:p>
            <w:pPr>
              <w:ind w:left="1140"/>
              <w:spacing w:after="0" w:line="200" w:lineRule="exact"/>
              <w:rPr>
                <w:sz w:val="20"/>
                <w:szCs w:val="20"/>
                <w:color w:val="auto"/>
              </w:rPr>
            </w:pPr>
            <w:r>
              <w:rPr>
                <w:rFonts w:ascii="Arial" w:cs="Arial" w:eastAsia="Arial" w:hAnsi="Arial"/>
                <w:sz w:val="18"/>
                <w:szCs w:val="18"/>
                <w:color w:val="auto"/>
              </w:rPr>
              <w:t>Supplemental Benefit Plan</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200" w:lineRule="exact"/>
              <w:rPr>
                <w:sz w:val="20"/>
                <w:szCs w:val="20"/>
                <w:color w:val="auto"/>
              </w:rPr>
            </w:pPr>
            <w:r>
              <w:rPr>
                <w:rFonts w:ascii="Arial" w:cs="Arial" w:eastAsia="Arial" w:hAnsi="Arial"/>
                <w:sz w:val="18"/>
                <w:szCs w:val="18"/>
                <w:color w:val="auto"/>
              </w:rPr>
              <w:t>0</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5,748</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5,748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E. Brown, Jr.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 Plan</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12,959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Deferred Compensation Plan for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Officers</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0"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Supplemental Benefit Plan</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29,260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179,385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right="80" w:hanging="532"/>
        <w:spacing w:after="0" w:line="23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reported represents company contributions to the Supplemental Benefit Plan for calendar year 2009, which will be paid in first calendar quarter of 2010, and are included in the "All Other Compensation" column of the Summary Compensation Table for the respective named executive officer for fiscal 2009.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40" w:right="320" w:hanging="532"/>
        <w:spacing w:after="0" w:line="239"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Aggregate earnings are based on actual rates of return earned during the fiscal year and each named executive officer's fund allocation. The rates for calendar year 2009 are provided below:</w:t>
      </w:r>
    </w:p>
    <w:p>
      <w:pPr>
        <w:spacing w:after="0" w:line="201"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Fund</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Alger Small Cap Growth Institutional</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43.7%</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American Century Large Company Value</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20.9%</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American Funds Growth Fund of America</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34.5%</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Artisan Mid Cap</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50.3%</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Eaton Vance Large Cap Value</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17.3%</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Diversified International</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31.8%</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Fidelity US Treasury Money Market</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0.1%</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ICM Small Company</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34.5%</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JPMorgan Mid Cap Value</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26.3%</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JPMorgan Prime Money Market</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0.2%</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Vanguard Institutional Index</w:t>
            </w:r>
          </w:p>
        </w:tc>
        <w:tc>
          <w:tcPr>
            <w:tcW w:w="15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26.6%</w:t>
            </w: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Total Bond Index</w:t>
            </w:r>
          </w:p>
        </w:tc>
        <w:tc>
          <w:tcPr>
            <w:tcW w:w="15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6.0%</w:t>
            </w:r>
          </w:p>
        </w:tc>
      </w:tr>
      <w:tr>
        <w:trPr>
          <w:trHeight w:val="214"/>
        </w:trPr>
        <w:tc>
          <w:tcPr>
            <w:tcW w:w="4140" w:type="dxa"/>
            <w:vAlign w:val="bottom"/>
            <w:gridSpan w:val="2"/>
          </w:tcPr>
          <w:p>
            <w:pPr>
              <w:spacing w:after="0"/>
              <w:rPr>
                <w:sz w:val="20"/>
                <w:szCs w:val="20"/>
                <w:color w:val="auto"/>
              </w:rPr>
            </w:pPr>
            <w:r>
              <w:rPr>
                <w:rFonts w:ascii="Arial" w:cs="Arial" w:eastAsia="Arial" w:hAnsi="Arial"/>
                <w:sz w:val="18"/>
                <w:szCs w:val="18"/>
                <w:color w:val="auto"/>
              </w:rPr>
              <w:t>Toro Common Stock</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28.6%</w:t>
            </w:r>
          </w:p>
        </w:tc>
      </w:tr>
    </w:tbl>
    <w:p>
      <w:pPr>
        <w:spacing w:after="0" w:line="221" w:lineRule="exact"/>
        <w:rPr>
          <w:sz w:val="20"/>
          <w:szCs w:val="20"/>
          <w:color w:val="auto"/>
        </w:rPr>
      </w:pPr>
    </w:p>
    <w:p>
      <w:pPr>
        <w:ind w:left="540" w:right="80" w:hanging="532"/>
        <w:spacing w:after="0" w:line="23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reported represents Mr. Dordell's base salary deferral under the Deferred Compensation Plan of $23,943, which represents 10% of his base salary earnings from January 2009 through October 2009. These contributions also are included in the "Salary" column of the Summary Compensation Table.</w:t>
      </w:r>
    </w:p>
    <w:p>
      <w:pPr>
        <w:spacing w:after="0" w:line="194" w:lineRule="exact"/>
        <w:rPr>
          <w:rFonts w:ascii="Arial" w:cs="Arial" w:eastAsia="Arial" w:hAnsi="Arial"/>
          <w:sz w:val="18"/>
          <w:szCs w:val="18"/>
          <w:color w:val="auto"/>
        </w:rPr>
      </w:pPr>
    </w:p>
    <w:p>
      <w:pPr>
        <w:ind w:left="540" w:right="20" w:hanging="532"/>
        <w:spacing w:after="0" w:line="23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reported represents Mr. Dordell's deferral under the Deferred Compensation Plan for Officers of $42,288, which represents 100% of his payout for the three-year award term ending in fiscal 2009. These contributions also are included in the "Value Realized on Vesting" column of the Option Exercises and Stock Vested for Fiscal 2009.</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4" w:lineRule="exact"/>
        <w:rPr>
          <w:sz w:val="20"/>
          <w:szCs w:val="20"/>
          <w:color w:val="auto"/>
        </w:rPr>
      </w:pPr>
    </w:p>
    <w:p>
      <w:pPr>
        <w:ind w:right="480" w:firstLine="387"/>
        <w:spacing w:after="0" w:line="239" w:lineRule="auto"/>
        <w:rPr>
          <w:sz w:val="20"/>
          <w:szCs w:val="20"/>
          <w:color w:val="auto"/>
        </w:rPr>
      </w:pPr>
      <w:r>
        <w:rPr>
          <w:rFonts w:ascii="Arial" w:cs="Arial" w:eastAsia="Arial" w:hAnsi="Arial"/>
          <w:sz w:val="18"/>
          <w:szCs w:val="18"/>
          <w:color w:val="auto"/>
        </w:rPr>
        <w:t>The following discussion describes the payments and benefits to which certain of our executives, including each of our named executive officers, would be entitled under various termination of employment and/or change of control scenarios.</w:t>
      </w:r>
    </w:p>
    <w:p>
      <w:pPr>
        <w:spacing w:after="0" w:line="187" w:lineRule="exact"/>
        <w:rPr>
          <w:sz w:val="20"/>
          <w:szCs w:val="20"/>
          <w:color w:val="auto"/>
        </w:rPr>
      </w:pPr>
    </w:p>
    <w:p>
      <w:pPr>
        <w:jc w:val="both"/>
        <w:ind w:firstLine="391"/>
        <w:spacing w:after="0" w:line="249"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purposes of our compensation arrangements, in most cases, "retirement" means the termination of employment at or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age of 55 and with a number of years of service that, when added together with the named executive officer's age, equals at least 65. Mr. Wolfe currently is eligible for retirement.</w:t>
      </w:r>
    </w:p>
    <w:p>
      <w:pPr>
        <w:spacing w:after="0" w:line="202" w:lineRule="exact"/>
        <w:rPr>
          <w:sz w:val="20"/>
          <w:szCs w:val="20"/>
          <w:color w:val="auto"/>
        </w:rPr>
      </w:pPr>
    </w:p>
    <w:p>
      <w:pPr>
        <w:ind w:right="240" w:firstLine="387"/>
        <w:spacing w:after="0" w:line="266" w:lineRule="auto"/>
        <w:rPr>
          <w:sz w:val="20"/>
          <w:szCs w:val="20"/>
          <w:color w:val="auto"/>
        </w:rPr>
      </w:pPr>
      <w:r>
        <w:rPr>
          <w:rFonts w:ascii="Arial" w:cs="Arial" w:eastAsia="Arial" w:hAnsi="Arial"/>
          <w:sz w:val="18"/>
          <w:szCs w:val="18"/>
          <w:color w:val="auto"/>
        </w:rPr>
        <w:t>The Board has adopted an age 65 retirement policy for senior executive officers that requires such officers to submit a resignation as of the month-end following his or her 65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birthday. Only in unusual circumstances will the Board act to defer any such resignation.</w:t>
      </w:r>
    </w:p>
    <w:p>
      <w:pPr>
        <w:spacing w:after="0" w:line="63" w:lineRule="exact"/>
        <w:rPr>
          <w:sz w:val="20"/>
          <w:szCs w:val="20"/>
          <w:color w:val="auto"/>
        </w:rPr>
      </w:pPr>
    </w:p>
    <w:p>
      <w:pPr>
        <w:ind w:right="60" w:firstLine="391"/>
        <w:spacing w:after="0" w:line="239" w:lineRule="auto"/>
        <w:rPr>
          <w:sz w:val="20"/>
          <w:szCs w:val="20"/>
          <w:color w:val="auto"/>
        </w:rPr>
      </w:pPr>
      <w:r>
        <w:rPr>
          <w:rFonts w:ascii="Arial" w:cs="Arial" w:eastAsia="Arial" w:hAnsi="Arial"/>
          <w:sz w:val="18"/>
          <w:szCs w:val="18"/>
          <w:color w:val="auto"/>
        </w:rPr>
        <w:t>Under the terms of our stock option plans and related agreements, in the event of the retirement of a named executive officer and for a period of up to four years after his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retirement date, the executive may exercise any outstanding stock options that had vested as of his retirement date or will vest during such four-year period (but in no event later than the date the stock options expire). Under the terms of the PSP and related agreements, if a named executive officer retires and at least one year of the three-year award term for outstanding performance share awards has elapsed as of his retirement date, then, following the end of the three-year award term, the Compensation &amp; Human Resources Committee may cause the outstanding performance share awards to be paid to the executive but only if earned and only with respect to the portion of the award term that was completed as of the retirement date. Performance share awards, if any, would be paid in shares of our common stock and proration likely would be based on full fiscal years of employment. If Mr. Wolfe had retired on October 31, 2009, the fiscal 2007 to fiscal 2009 award term would have been completed and, accordingly, the committee could have approved that he would receive the number of shares of our common stock as payout for such award term as set forth set forth in the "Performance Share Award Payout Upon Retirement, Death or Disability as of October 31, 2009" table on page 63. Further, as two-thirds of the fiscal 2008 to fiscal 2010 award term (to be paid in December 2010) would have been completed and one-third of the fiscal 2009 to fiscal 2011 award term (to be paid in December 2011) would have been completed, the committee could have approved that he would receive the number of shares of our common stock as payout for each such award term as set forth in the "Performance Share Award Payout Upon Retirement, Death or Disability as of October 31, 2009" table on page 63.</w:t>
      </w:r>
    </w:p>
    <w:p>
      <w:pPr>
        <w:spacing w:after="0" w:line="215" w:lineRule="exact"/>
        <w:rPr>
          <w:sz w:val="20"/>
          <w:szCs w:val="20"/>
          <w:color w:val="auto"/>
        </w:rPr>
      </w:pPr>
    </w:p>
    <w:p>
      <w:pPr>
        <w:ind w:right="120" w:firstLine="381"/>
        <w:spacing w:after="0" w:line="270" w:lineRule="auto"/>
        <w:rPr>
          <w:sz w:val="20"/>
          <w:szCs w:val="20"/>
          <w:color w:val="auto"/>
        </w:rPr>
      </w:pPr>
      <w:r>
        <w:rPr>
          <w:rFonts w:ascii="Arial" w:cs="Arial" w:eastAsia="Arial" w:hAnsi="Arial"/>
          <w:sz w:val="16"/>
          <w:szCs w:val="16"/>
          <w:color w:val="auto"/>
        </w:rPr>
        <w:t>Although not required under the AMIP, in the event of the retirement of a named executive officer, the Compensation &amp; Human Resources Committee may approve a prorated annual incentive award to be paid to the executive in cash following the end of the fiscal year under the AMIP. If approved by the committee, the annual incentive award likely would be determined based on achievement and weighting of performance measures against plan and the proration likely would be based on the portion of the fiscal year that was completed as of the retirement date. If Mr. Wolfe had retired on October 31, 2009, the fiscal 2009 annual award term would have been completed and, accordingly, the committee could have approved that he would receive cash payout of his entire fiscal 2009 annual incentive award paid under the AMIP, which is set forth in the "Summary Compensation Table" on page 50, in the "Non-Equity Incentive Plan Compensation" column.</w:t>
      </w:r>
    </w:p>
    <w:p>
      <w:pPr>
        <w:spacing w:after="0" w:line="185" w:lineRule="exact"/>
        <w:rPr>
          <w:sz w:val="20"/>
          <w:szCs w:val="20"/>
          <w:color w:val="auto"/>
        </w:rPr>
      </w:pPr>
    </w:p>
    <w:p>
      <w:pPr>
        <w:ind w:right="120" w:firstLine="387"/>
        <w:spacing w:after="0" w:line="273" w:lineRule="auto"/>
        <w:rPr>
          <w:sz w:val="20"/>
          <w:szCs w:val="20"/>
          <w:color w:val="auto"/>
        </w:rPr>
      </w:pPr>
      <w:r>
        <w:rPr>
          <w:rFonts w:ascii="Arial" w:cs="Arial" w:eastAsia="Arial" w:hAnsi="Arial"/>
          <w:sz w:val="16"/>
          <w:szCs w:val="16"/>
          <w:color w:val="auto"/>
        </w:rPr>
        <w:t>The Compensation &amp; Human Resources Committee has adopted a policy regarding perquisites to be provided to officers, including our named executive officers, following retirement, which provides that following retirement an executive will continue to receive reimbursement for amounts incurred for: (a) one additional year of financial planning expenses; (b) one additional executive physical; and (c) 12 additional months of payments for a company-leased automobile and related insurance, or through the end of the lease term, whichever is shorter. Additionally, executives are entitled to receive certain Company products for his or her personal use at no charge for five years following retirement.</w:t>
      </w:r>
    </w:p>
    <w:p>
      <w:pPr>
        <w:spacing w:after="0" w:line="183" w:lineRule="exact"/>
        <w:rPr>
          <w:sz w:val="20"/>
          <w:szCs w:val="20"/>
          <w:color w:val="auto"/>
        </w:rPr>
      </w:pPr>
    </w:p>
    <w:p>
      <w:pPr>
        <w:ind w:right="120" w:firstLine="381"/>
        <w:spacing w:after="0" w:line="238" w:lineRule="auto"/>
        <w:rPr>
          <w:sz w:val="20"/>
          <w:szCs w:val="20"/>
          <w:color w:val="auto"/>
        </w:rPr>
      </w:pPr>
      <w:r>
        <w:rPr>
          <w:rFonts w:ascii="Arial" w:cs="Arial" w:eastAsia="Arial" w:hAnsi="Arial"/>
          <w:sz w:val="18"/>
          <w:szCs w:val="18"/>
          <w:color w:val="auto"/>
        </w:rPr>
        <w:t>Any deferred compensation and retirement benefits would be payable in accordance with the named executive officer's prior elections. In the event of the retirement of any of our named executive officers on October 31, 2009, the amounts reflected in the "Nonqualified Deferred Compensation for Fiscal 2009" table on page 57 would be payable to the executive in accordance with the executive's prior elections.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Under the terms of our stock option plans and related agreements, in the event of the death of any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all outstanding stock options held by such individual immediately will vest and may be exercised by the individual's beneficiary for a period of up to one year (but not later than the date the stock options expire). Under the terms of the PSP and related agreements, if any of our named executive officers dies and at least one-third of the three-year award term for outstanding performance share awards has elapsed as of his date of death, then, following the end of the three-year award term, the Compensation &amp; Human Resources Committee may cause the outstanding performance share awards to be paid to the executive's beneficiary but only if earned and only with respect to the portion of the award term that was completed as of the date of death. Performance share awards, if any, would be paid in shares of our common stock and proration likely would be based on full fiscal years of employment. If any of our named executive officers had died on October 31, 2009, the fiscal 2007 to fiscal 2009 award term would have been completed and, accordingly, the committee could have approved that his beneficiary would receive the number of shares of our common stock as payout for such award term as set forth in the "Performance Share Award Payout Upon Retirement, Death or Disability as of October 31, 2009" table on page 63. Further, as two-thirds of the fiscal 2008 to fiscal 2010 award term (to be paid in December 2010) would have been completed and one-third of the fiscal 2009 to fiscal 2011 award term (to be paid in December 2011) would have been completed, the committee could have approved that his beneficiary would receive the number of shares of our common stock as payout for each such award term as set forth set forth in the "Performance Share Award Payout Upon Retirement, Death or Disability as of October 31, 2009" table on page 63.</w:t>
      </w:r>
    </w:p>
    <w:p>
      <w:pPr>
        <w:spacing w:after="0" w:line="393" w:lineRule="exact"/>
        <w:rPr>
          <w:sz w:val="20"/>
          <w:szCs w:val="20"/>
          <w:color w:val="auto"/>
        </w:rPr>
      </w:pPr>
    </w:p>
    <w:p>
      <w:pPr>
        <w:ind w:right="100" w:firstLine="381"/>
        <w:spacing w:after="0" w:line="235" w:lineRule="auto"/>
        <w:rPr>
          <w:sz w:val="20"/>
          <w:szCs w:val="20"/>
          <w:color w:val="auto"/>
        </w:rPr>
      </w:pPr>
      <w:r>
        <w:rPr>
          <w:rFonts w:ascii="Arial" w:cs="Arial" w:eastAsia="Arial" w:hAnsi="Arial"/>
          <w:sz w:val="18"/>
          <w:szCs w:val="18"/>
          <w:color w:val="auto"/>
        </w:rPr>
        <w:t>Although not required under the AMIP, in the event of the death of a named executive officer, the Compensation &amp; Human Resources Committee may approve a prorated annual incentive award to be paid in cash to the executive's beneficiary following the end of the fiscal year under the AMIP. If approved by the Compensation &amp; Human Resources Committee, the annual incentive award likely would be determined based on achievement and weighting of performance measures against plan and the proration likely would be based on the portion of the fiscal year that was completed as of the date of death. If any of our named executive officers had died on October 31, 2009, the fiscal 2009 annual award term would have been completed and, accordingly, the committee could have approved that his beneficiary would receive cash payout of his entire fiscal 2009 annual incentive award paid under the AMIP, which is set forth in the "Summary Compensation Table" on page 50, in the "Non-Equity Incentive Plan Compensation" column. The Compensation &amp; Human Resources Committee also may approve the continuation of existing perquisites or additional perquisites.</w:t>
      </w:r>
    </w:p>
    <w:p>
      <w:pPr>
        <w:spacing w:after="0" w:line="215" w:lineRule="exact"/>
        <w:rPr>
          <w:sz w:val="20"/>
          <w:szCs w:val="20"/>
          <w:color w:val="auto"/>
        </w:rPr>
      </w:pPr>
    </w:p>
    <w:p>
      <w:pPr>
        <w:ind w:right="20" w:firstLine="391"/>
        <w:spacing w:after="0" w:line="237" w:lineRule="auto"/>
        <w:rPr>
          <w:sz w:val="20"/>
          <w:szCs w:val="20"/>
          <w:color w:val="auto"/>
        </w:rPr>
      </w:pPr>
      <w:r>
        <w:rPr>
          <w:rFonts w:ascii="Arial" w:cs="Arial" w:eastAsia="Arial" w:hAnsi="Arial"/>
          <w:sz w:val="18"/>
          <w:szCs w:val="18"/>
          <w:color w:val="auto"/>
        </w:rPr>
        <w:t>Upon the death of a named executive officer, payments under our deferred compensation plans and retirement plans would be payable in accordance with the executive's prior elections. In the event of the death of a named executive officer on October 31, 2009, the amounts reflected in the "Nonqualified Deferred Compensation for Fiscal 2009" table on page 57 would be payable to the named beneficiaries in accordance with the executive's prior elections.</w:t>
      </w:r>
    </w:p>
    <w:p>
      <w:pPr>
        <w:spacing w:after="0" w:line="209" w:lineRule="exact"/>
        <w:rPr>
          <w:sz w:val="20"/>
          <w:szCs w:val="20"/>
          <w:color w:val="auto"/>
        </w:rPr>
      </w:pPr>
    </w:p>
    <w:p>
      <w:pPr>
        <w:ind w:right="340" w:firstLine="391"/>
        <w:spacing w:after="0" w:line="239" w:lineRule="auto"/>
        <w:rPr>
          <w:sz w:val="20"/>
          <w:szCs w:val="20"/>
          <w:color w:val="auto"/>
        </w:rPr>
      </w:pPr>
      <w:r>
        <w:rPr>
          <w:rFonts w:ascii="Arial" w:cs="Arial" w:eastAsia="Arial" w:hAnsi="Arial"/>
          <w:sz w:val="18"/>
          <w:szCs w:val="18"/>
          <w:color w:val="auto"/>
        </w:rPr>
        <w:t>Under The Toro Company Life Insurance Plan, our named executive officers receive company-paid life insurance equal to one times base pay, adjusted to the next higher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multiple of a thousand and also have the ability to purchase up to five times base pay, up to a maximum of $1,500,000.</w:t>
      </w:r>
    </w:p>
    <w:p>
      <w:pPr>
        <w:spacing w:after="0" w:line="190" w:lineRule="exact"/>
        <w:rPr>
          <w:sz w:val="20"/>
          <w:szCs w:val="20"/>
          <w:color w:val="auto"/>
        </w:rPr>
      </w:pPr>
    </w:p>
    <w:p>
      <w:pPr>
        <w:ind w:firstLine="391"/>
        <w:spacing w:after="0" w:line="268" w:lineRule="auto"/>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Under the terms of our stock option plans and related agreements, in the event of the employment of any of our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is terminated due to a disability, all outstanding stock options held by such individual will immediately vest upon termination of employment due to the disability and may be exercised by the executive or his guardian or legal representative for a period of up to one year (but not later than the date the stock options expire). Under the terms of the PSP and related agreements, in the event that any of our named executive officers becomes permanently disabled and unable to work prior to the end of an award term and if at least one-third of the three-year award term for outstanding performance share awards has elapsed as of his termination date, then, following the end of the three-year award term, the Compensation &amp; Human Resources Committee may cause the outstanding performance share awards to be paid to the executive but only if earned and only with respect to the portion of the award term that was completed as of the termination date. Performance share awards, if any, would be paid in shares of our common stock and proration likely would be based on full fiscal years of employment. If the employment of any of our named executive officers had terminated due to a disability of the executive on October 31, 2009, the fiscal 2007 to fiscal 2009 award term would have been completed and, accordingly, the committee could have approved that his beneficiary would receive the number of shares of our common stock as payout for such award term as set forth in the "Performance Share Award Payout Upon Retirement, Death or Disability as of October 31, 2009" table on page 63. Further, as two-thirds of the fiscal 2008 to fiscal 2010 award term (to be paid in December 2010) would have been completed and one-third of the fiscal 2009 to fiscal 2011 award term (to be paid in December 2011) would have been completed, the committee could have approved that his beneficiary would receive the number of shares of our common stock as payout for each such award term as set forth in the "Performance Share Award Payout Upon Retirement, Death or Disability as of October 31, 2009" table on page 63.</w:t>
      </w:r>
    </w:p>
    <w:p>
      <w:pPr>
        <w:spacing w:after="0" w:line="398" w:lineRule="exact"/>
        <w:rPr>
          <w:sz w:val="20"/>
          <w:szCs w:val="20"/>
          <w:color w:val="auto"/>
        </w:rPr>
      </w:pPr>
    </w:p>
    <w:p>
      <w:pPr>
        <w:ind w:right="40" w:firstLine="381"/>
        <w:spacing w:after="0" w:line="268" w:lineRule="auto"/>
        <w:rPr>
          <w:sz w:val="20"/>
          <w:szCs w:val="20"/>
          <w:color w:val="auto"/>
        </w:rPr>
      </w:pPr>
      <w:r>
        <w:rPr>
          <w:rFonts w:ascii="Arial" w:cs="Arial" w:eastAsia="Arial" w:hAnsi="Arial"/>
          <w:sz w:val="16"/>
          <w:szCs w:val="16"/>
          <w:color w:val="auto"/>
        </w:rPr>
        <w:t>Although not required under the AMIP, in the event that a named executive officer becomes permanently disabled and unable to work prior to the end of a fiscal year, the Compensation &amp; Human Resources Committee may approve a prorated annual incentive award to be paid to the executive or the executive's legal guardian in cash following the end of the fiscal year under the AMIP. If approved by the Compensation &amp; Human Resources Committee, the annual incentive award amount likely would be determined based on achievement and weighting of performance measures against plan and the proration likely would be based on the portion of the fiscal year that was completed as of the date of disability. If any of our named executive officers had become disabled on October 31, 2009, the fiscal 2009 annual award term would have been completed and, accordingly, the committee could have approved that he would receive cash payout of his entire fiscal 2009 annual incentive award paid under the AMIP, which is set forth in the "Summary Compensation Table" on page 50, in the "Non-Equity Incentive Plan Compensation" column. The Compensation &amp; Human Resources Committee may also approve the continuation of existing perquisites or additional perquisites.</w:t>
      </w:r>
    </w:p>
    <w:p>
      <w:pPr>
        <w:spacing w:after="0" w:line="190" w:lineRule="exact"/>
        <w:rPr>
          <w:sz w:val="20"/>
          <w:szCs w:val="20"/>
          <w:color w:val="auto"/>
        </w:rPr>
      </w:pPr>
    </w:p>
    <w:p>
      <w:pPr>
        <w:ind w:right="140" w:firstLine="391"/>
        <w:spacing w:after="0" w:line="239" w:lineRule="auto"/>
        <w:rPr>
          <w:sz w:val="20"/>
          <w:szCs w:val="20"/>
          <w:color w:val="auto"/>
        </w:rPr>
      </w:pPr>
      <w:r>
        <w:rPr>
          <w:rFonts w:ascii="Arial" w:cs="Arial" w:eastAsia="Arial" w:hAnsi="Arial"/>
          <w:sz w:val="18"/>
          <w:szCs w:val="18"/>
          <w:color w:val="auto"/>
        </w:rPr>
        <w:t>Upon the termination of a named executive officer's employment due to disability, any deferred compensation and retirement benefits would be payable in accordance with the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executive's prior elections. In the event of the termination of a named executive officer on October 31, 2009 as a result of the disability of the executive, the amounts reflected in the "Nonqualified Deferred Compensation for Fiscal 2009" table on page 57 would be payable to the executive in accordance with his prior elections.</w:t>
      </w:r>
    </w:p>
    <w:p>
      <w:pPr>
        <w:spacing w:after="0" w:line="208"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color w:val="auto"/>
        </w:rPr>
        <w:t>Under The Toro Company Accidental Death and Dismemberment Plan, or ADD Plan, in fiscal 2009 our named executive officers were entitled to receive company-paid 24-hour accidental death and dismemberment insurance equal to five times base pay up to a maximum of $4,000,000. For changes to the ADD Plan for fiscal 2010, see the discussion on page 45 under the heading "Changes for Fiscal 2010".</w:t>
      </w:r>
    </w:p>
    <w:p>
      <w:pPr>
        <w:spacing w:after="0" w:line="208" w:lineRule="exact"/>
        <w:rPr>
          <w:sz w:val="20"/>
          <w:szCs w:val="20"/>
          <w:color w:val="auto"/>
        </w:rPr>
      </w:pPr>
    </w:p>
    <w:p>
      <w:pPr>
        <w:ind w:right="60" w:firstLine="391"/>
        <w:spacing w:after="0" w:line="236" w:lineRule="auto"/>
        <w:rPr>
          <w:sz w:val="20"/>
          <w:szCs w:val="20"/>
          <w:color w:val="auto"/>
        </w:rPr>
      </w:pPr>
      <w:r>
        <w:rPr>
          <w:rFonts w:ascii="Arial" w:cs="Arial" w:eastAsia="Arial" w:hAnsi="Arial"/>
          <w:sz w:val="18"/>
          <w:szCs w:val="18"/>
          <w:color w:val="auto"/>
        </w:rPr>
        <w:t>Under The Toro Company Long-Term Disability Plan, or LTD Plan, in fiscal 2009 all of our eligible employees, including our named executive officers, were eligible to receive basic long-term disability insurance. The company-sponsored portion of this plan paid 60% of monthly base salary up to a maximum benefit of $600 per month for the duration of the disability up to age 65. All eligible employees, including our named executive officers, also had the ability to purchase additional coverage up to 60% of monthly base pay with a maximum annual benefit of $180,000. For changes to the LTD Plan for fiscal 2010, see the discussion on page 45 under the heading "Changes for Fiscal 2010".</w:t>
      </w:r>
    </w:p>
    <w:p>
      <w:pPr>
        <w:spacing w:after="0" w:line="189" w:lineRule="exact"/>
        <w:rPr>
          <w:sz w:val="20"/>
          <w:szCs w:val="20"/>
          <w:color w:val="auto"/>
        </w:rPr>
      </w:pPr>
    </w:p>
    <w:p>
      <w:pPr>
        <w:ind w:right="20" w:firstLine="391"/>
        <w:spacing w:after="0" w:line="237" w:lineRule="auto"/>
        <w:rPr>
          <w:sz w:val="20"/>
          <w:szCs w:val="20"/>
          <w:color w:val="auto"/>
        </w:rPr>
      </w:pPr>
      <w:r>
        <w:rPr>
          <w:rFonts w:ascii="Arial" w:cs="Arial" w:eastAsia="Arial" w:hAnsi="Arial"/>
          <w:sz w:val="18"/>
          <w:szCs w:val="18"/>
          <w:b w:val="1"/>
          <w:bCs w:val="1"/>
          <w:color w:val="auto"/>
        </w:rPr>
        <w:t xml:space="preserve">Performance Share Award Payout Upon Retirement, Death or Disability as of October 31, 2009. </w:t>
      </w:r>
      <w:r>
        <w:rPr>
          <w:rFonts w:ascii="Arial" w:cs="Arial" w:eastAsia="Arial" w:hAnsi="Arial"/>
          <w:sz w:val="18"/>
          <w:szCs w:val="18"/>
          <w:color w:val="auto"/>
        </w:rPr>
        <w:t>If on October 31, 2009, (a) 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had died or his employment was terminated due to a disability or (b) had Mr. Wolfe retired, he or his beneficiary, as applicable, could have received as payout for performance share awards for award terms completed as of, or in progress on, October 31, 2009, the number of shares of our common stock set forth in the following table, which consists of: (i) the actual number of shares of our common stock that such named executive officer received as payout for performance share awards for the fiscal 2007 to fiscal 2009 award term, which award term would have been completed on October 31, 2009 (as set forth in the "Option Exercises and Stock Vested for Fiscal 2009" table on page 56 under the "Stock Awards" and "Number of Shares Acquired on Vesting" columns), and which shares were actually issued to the executive on December 8, 2009, less the number of shares of our common stock withheld to pay tax obligations, and could have, with the approval of the committee, been issued had such named executive officer died or his employment was terminated due to a disability or had Mr. Wolfe retired on October 31, 2009, (ii) two-thirds of the maximum number of shares of our common stock that such named executive officer could receive, with the approval of the committee, as payout for performance share awards for the fiscal 2008 to fiscal 2010 award term (to be paid in December 2010), of which two-thirds of the award term would have been completed on October 31, 2009, and (iii) one-third of the maximum number of shares of our common stock that such named executive officer could receive, with the approval of the committee, as payout for performance share awards for the fiscal 2009 to fiscal 2011 award term (to be paid in December 2011), of which one-third of the award term would have been completed on October 31, 2009.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4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07"/>
        </w:trPr>
        <w:tc>
          <w:tcPr>
            <w:tcW w:w="1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90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97"/>
              </w:rPr>
              <w:t>Number of Shares of</w:t>
            </w:r>
          </w:p>
        </w:tc>
      </w:tr>
      <w:tr>
        <w:trPr>
          <w:trHeight w:val="242"/>
        </w:trPr>
        <w:tc>
          <w:tcPr>
            <w:tcW w:w="3160" w:type="dxa"/>
            <w:vAlign w:val="bottom"/>
            <w:gridSpan w:val="3"/>
          </w:tcPr>
          <w:p>
            <w:pPr>
              <w:ind w:left="1140"/>
              <w:spacing w:after="0"/>
              <w:rPr>
                <w:sz w:val="20"/>
                <w:szCs w:val="20"/>
                <w:color w:val="auto"/>
              </w:rPr>
            </w:pPr>
            <w:r>
              <w:rPr>
                <w:rFonts w:ascii="Arial" w:cs="Arial" w:eastAsia="Arial" w:hAnsi="Arial"/>
                <w:sz w:val="18"/>
                <w:szCs w:val="18"/>
                <w:b w:val="1"/>
                <w:bCs w:val="1"/>
                <w:color w:val="auto"/>
              </w:rPr>
              <w:t>Name</w:t>
            </w:r>
          </w:p>
        </w:tc>
        <w:tc>
          <w:tcPr>
            <w:tcW w:w="4200" w:type="dxa"/>
            <w:vAlign w:val="bottom"/>
          </w:tcPr>
          <w:p>
            <w:pPr>
              <w:ind w:left="2000"/>
              <w:spacing w:after="0"/>
              <w:rPr>
                <w:sz w:val="20"/>
                <w:szCs w:val="20"/>
                <w:color w:val="auto"/>
              </w:rPr>
            </w:pPr>
            <w:r>
              <w:rPr>
                <w:rFonts w:ascii="Arial" w:cs="Arial" w:eastAsia="Arial" w:hAnsi="Arial"/>
                <w:sz w:val="18"/>
                <w:szCs w:val="18"/>
                <w:b w:val="1"/>
                <w:bCs w:val="1"/>
                <w:color w:val="auto"/>
              </w:rPr>
              <w:t>Award Term</w:t>
            </w:r>
          </w:p>
        </w:tc>
        <w:tc>
          <w:tcPr>
            <w:tcW w:w="290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96"/>
              </w:rPr>
              <w:t>Common Stock</w:t>
            </w:r>
          </w:p>
        </w:tc>
      </w:tr>
      <w:tr>
        <w:trPr>
          <w:trHeight w:val="203"/>
        </w:trPr>
        <w:tc>
          <w:tcPr>
            <w:tcW w:w="1160" w:type="dxa"/>
            <w:vAlign w:val="bottom"/>
          </w:tcPr>
          <w:p>
            <w:pPr>
              <w:spacing w:after="0"/>
              <w:rPr>
                <w:sz w:val="17"/>
                <w:szCs w:val="17"/>
                <w:color w:val="auto"/>
              </w:rPr>
            </w:pPr>
          </w:p>
        </w:tc>
        <w:tc>
          <w:tcPr>
            <w:tcW w:w="200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Hoffman</w:t>
            </w:r>
          </w:p>
        </w:tc>
        <w:tc>
          <w:tcPr>
            <w:tcW w:w="4200" w:type="dxa"/>
            <w:vAlign w:val="bottom"/>
            <w:tcBorders>
              <w:top w:val="single" w:sz="8" w:color="auto"/>
            </w:tcBorders>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2007 to Fiscal 2009</w:t>
            </w:r>
          </w:p>
        </w:tc>
        <w:tc>
          <w:tcPr>
            <w:tcW w:w="27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8,841</w:t>
            </w:r>
          </w:p>
        </w:tc>
        <w:tc>
          <w:tcPr>
            <w:tcW w:w="20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2008 to Fiscal 2010</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26,667</w:t>
            </w:r>
          </w:p>
        </w:tc>
        <w:tc>
          <w:tcPr>
            <w:tcW w:w="20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2009 to Fiscal 2011</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19,667</w:t>
            </w:r>
          </w:p>
        </w:tc>
        <w:tc>
          <w:tcPr>
            <w:tcW w:w="200" w:type="dxa"/>
            <w:vAlign w:val="bottom"/>
            <w:shd w:val="clear" w:color="auto" w:fill="CCEEFF"/>
          </w:tcPr>
          <w:p>
            <w:pPr>
              <w:spacing w:after="0"/>
              <w:rPr>
                <w:sz w:val="17"/>
                <w:szCs w:val="17"/>
                <w:color w:val="auto"/>
              </w:rPr>
            </w:pPr>
          </w:p>
        </w:tc>
      </w:tr>
      <w:tr>
        <w:trPr>
          <w:trHeight w:val="206"/>
        </w:trPr>
        <w:tc>
          <w:tcPr>
            <w:tcW w:w="316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Stephen P. Wolfe</w:t>
            </w:r>
          </w:p>
        </w:tc>
        <w:tc>
          <w:tcPr>
            <w:tcW w:w="4200" w:type="dxa"/>
            <w:vAlign w:val="bottom"/>
          </w:tcPr>
          <w:p>
            <w:pPr>
              <w:ind w:left="1260"/>
              <w:spacing w:after="0" w:line="206" w:lineRule="exact"/>
              <w:rPr>
                <w:sz w:val="20"/>
                <w:szCs w:val="20"/>
                <w:color w:val="auto"/>
              </w:rPr>
            </w:pPr>
            <w:r>
              <w:rPr>
                <w:rFonts w:ascii="Arial" w:cs="Arial" w:eastAsia="Arial" w:hAnsi="Arial"/>
                <w:sz w:val="18"/>
                <w:szCs w:val="18"/>
                <w:color w:val="auto"/>
              </w:rPr>
              <w:t>Fiscal 2007 to Fiscal 2009</w:t>
            </w:r>
          </w:p>
        </w:tc>
        <w:tc>
          <w:tcPr>
            <w:tcW w:w="2700" w:type="dxa"/>
            <w:vAlign w:val="bottom"/>
          </w:tcPr>
          <w:p>
            <w:pPr>
              <w:jc w:val="right"/>
              <w:spacing w:after="0" w:line="206" w:lineRule="exact"/>
              <w:rPr>
                <w:sz w:val="20"/>
                <w:szCs w:val="20"/>
                <w:color w:val="auto"/>
              </w:rPr>
            </w:pPr>
            <w:r>
              <w:rPr>
                <w:rFonts w:ascii="Arial" w:cs="Arial" w:eastAsia="Arial" w:hAnsi="Arial"/>
                <w:sz w:val="18"/>
                <w:szCs w:val="18"/>
                <w:color w:val="auto"/>
              </w:rPr>
              <w:t>2,546</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0" w:type="dxa"/>
            <w:vAlign w:val="bottom"/>
          </w:tcPr>
          <w:p>
            <w:pPr>
              <w:ind w:left="1260"/>
              <w:spacing w:after="0" w:line="202" w:lineRule="exact"/>
              <w:rPr>
                <w:sz w:val="20"/>
                <w:szCs w:val="20"/>
                <w:color w:val="auto"/>
              </w:rPr>
            </w:pPr>
            <w:r>
              <w:rPr>
                <w:rFonts w:ascii="Arial" w:cs="Arial" w:eastAsia="Arial" w:hAnsi="Arial"/>
                <w:sz w:val="18"/>
                <w:szCs w:val="18"/>
                <w:color w:val="auto"/>
              </w:rPr>
              <w:t>Fiscal 2008 to Fiscal 2010</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7,333</w:t>
            </w:r>
          </w:p>
        </w:tc>
        <w:tc>
          <w:tcPr>
            <w:tcW w:w="20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0" w:type="dxa"/>
            <w:vAlign w:val="bottom"/>
          </w:tcPr>
          <w:p>
            <w:pPr>
              <w:ind w:left="1260"/>
              <w:spacing w:after="0" w:line="200" w:lineRule="exact"/>
              <w:rPr>
                <w:sz w:val="20"/>
                <w:szCs w:val="20"/>
                <w:color w:val="auto"/>
              </w:rPr>
            </w:pPr>
            <w:r>
              <w:rPr>
                <w:rFonts w:ascii="Arial" w:cs="Arial" w:eastAsia="Arial" w:hAnsi="Arial"/>
                <w:sz w:val="18"/>
                <w:szCs w:val="18"/>
                <w:color w:val="auto"/>
              </w:rPr>
              <w:t>Fiscal 2009 to Fiscal 2011</w:t>
            </w:r>
          </w:p>
        </w:tc>
        <w:tc>
          <w:tcPr>
            <w:tcW w:w="2700" w:type="dxa"/>
            <w:vAlign w:val="bottom"/>
          </w:tcPr>
          <w:p>
            <w:pPr>
              <w:jc w:val="right"/>
              <w:spacing w:after="0" w:line="200" w:lineRule="exact"/>
              <w:rPr>
                <w:sz w:val="20"/>
                <w:szCs w:val="20"/>
                <w:color w:val="auto"/>
              </w:rPr>
            </w:pPr>
            <w:r>
              <w:rPr>
                <w:rFonts w:ascii="Arial" w:cs="Arial" w:eastAsia="Arial" w:hAnsi="Arial"/>
                <w:sz w:val="18"/>
                <w:szCs w:val="18"/>
                <w:color w:val="auto"/>
              </w:rPr>
              <w:t>5,133</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M. Ramstad</w:t>
            </w: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2007 to Fiscal 2009</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2008 to Fiscal 2010</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3,867</w:t>
            </w:r>
          </w:p>
        </w:tc>
        <w:tc>
          <w:tcPr>
            <w:tcW w:w="20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2009 to Fiscal 2011</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17"/>
                <w:szCs w:val="17"/>
                <w:color w:val="auto"/>
              </w:rPr>
            </w:pPr>
          </w:p>
        </w:tc>
      </w:tr>
      <w:tr>
        <w:trPr>
          <w:trHeight w:val="206"/>
        </w:trPr>
        <w:tc>
          <w:tcPr>
            <w:tcW w:w="3160" w:type="dxa"/>
            <w:vAlign w:val="bottom"/>
            <w:gridSpan w:val="3"/>
          </w:tcPr>
          <w:p>
            <w:pPr>
              <w:ind w:left="1140"/>
              <w:spacing w:after="0" w:line="206" w:lineRule="exact"/>
              <w:rPr>
                <w:sz w:val="20"/>
                <w:szCs w:val="20"/>
                <w:color w:val="auto"/>
              </w:rPr>
            </w:pPr>
            <w:r>
              <w:rPr>
                <w:rFonts w:ascii="Arial" w:cs="Arial" w:eastAsia="Arial" w:hAnsi="Arial"/>
                <w:sz w:val="18"/>
                <w:szCs w:val="18"/>
                <w:color w:val="auto"/>
              </w:rPr>
              <w:t>Timothy P. Dordell</w:t>
            </w:r>
          </w:p>
        </w:tc>
        <w:tc>
          <w:tcPr>
            <w:tcW w:w="4200" w:type="dxa"/>
            <w:vAlign w:val="bottom"/>
          </w:tcPr>
          <w:p>
            <w:pPr>
              <w:ind w:left="1260"/>
              <w:spacing w:after="0" w:line="206" w:lineRule="exact"/>
              <w:rPr>
                <w:sz w:val="20"/>
                <w:szCs w:val="20"/>
                <w:color w:val="auto"/>
              </w:rPr>
            </w:pPr>
            <w:r>
              <w:rPr>
                <w:rFonts w:ascii="Arial" w:cs="Arial" w:eastAsia="Arial" w:hAnsi="Arial"/>
                <w:sz w:val="18"/>
                <w:szCs w:val="18"/>
                <w:color w:val="auto"/>
              </w:rPr>
              <w:t>Fiscal 2007 to Fiscal 2009</w:t>
            </w:r>
          </w:p>
        </w:tc>
        <w:tc>
          <w:tcPr>
            <w:tcW w:w="2700" w:type="dxa"/>
            <w:vAlign w:val="bottom"/>
          </w:tcPr>
          <w:p>
            <w:pPr>
              <w:jc w:val="right"/>
              <w:spacing w:after="0" w:line="206" w:lineRule="exact"/>
              <w:rPr>
                <w:sz w:val="20"/>
                <w:szCs w:val="20"/>
                <w:color w:val="auto"/>
              </w:rPr>
            </w:pPr>
            <w:r>
              <w:rPr>
                <w:rFonts w:ascii="Arial" w:cs="Arial" w:eastAsia="Arial" w:hAnsi="Arial"/>
                <w:sz w:val="18"/>
                <w:szCs w:val="18"/>
                <w:color w:val="auto"/>
              </w:rPr>
              <w:t>1,066</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0" w:type="dxa"/>
            <w:vAlign w:val="bottom"/>
          </w:tcPr>
          <w:p>
            <w:pPr>
              <w:ind w:left="1260"/>
              <w:spacing w:after="0" w:line="202" w:lineRule="exact"/>
              <w:rPr>
                <w:sz w:val="20"/>
                <w:szCs w:val="20"/>
                <w:color w:val="auto"/>
              </w:rPr>
            </w:pPr>
            <w:r>
              <w:rPr>
                <w:rFonts w:ascii="Arial" w:cs="Arial" w:eastAsia="Arial" w:hAnsi="Arial"/>
                <w:sz w:val="18"/>
                <w:szCs w:val="18"/>
                <w:color w:val="auto"/>
              </w:rPr>
              <w:t>Fiscal 2008 to Fiscal 2010</w:t>
            </w: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4,400</w:t>
            </w:r>
          </w:p>
        </w:tc>
        <w:tc>
          <w:tcPr>
            <w:tcW w:w="20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0" w:type="dxa"/>
            <w:vAlign w:val="bottom"/>
          </w:tcPr>
          <w:p>
            <w:pPr>
              <w:ind w:left="1260"/>
              <w:spacing w:after="0" w:line="200" w:lineRule="exact"/>
              <w:rPr>
                <w:sz w:val="20"/>
                <w:szCs w:val="20"/>
                <w:color w:val="auto"/>
              </w:rPr>
            </w:pPr>
            <w:r>
              <w:rPr>
                <w:rFonts w:ascii="Arial" w:cs="Arial" w:eastAsia="Arial" w:hAnsi="Arial"/>
                <w:sz w:val="18"/>
                <w:szCs w:val="18"/>
                <w:color w:val="auto"/>
              </w:rPr>
              <w:t>Fiscal 2009 to Fiscal 2011</w:t>
            </w:r>
          </w:p>
        </w:tc>
        <w:tc>
          <w:tcPr>
            <w:tcW w:w="2700" w:type="dxa"/>
            <w:vAlign w:val="bottom"/>
          </w:tcPr>
          <w:p>
            <w:pPr>
              <w:jc w:val="right"/>
              <w:spacing w:after="0" w:line="200" w:lineRule="exact"/>
              <w:rPr>
                <w:sz w:val="20"/>
                <w:szCs w:val="20"/>
                <w:color w:val="auto"/>
              </w:rPr>
            </w:pPr>
            <w:r>
              <w:rPr>
                <w:rFonts w:ascii="Arial" w:cs="Arial" w:eastAsia="Arial" w:hAnsi="Arial"/>
                <w:sz w:val="18"/>
                <w:szCs w:val="18"/>
                <w:color w:val="auto"/>
              </w:rPr>
              <w:t>3,733</w:t>
            </w:r>
          </w:p>
        </w:tc>
        <w:tc>
          <w:tcPr>
            <w:tcW w:w="2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E. Brown, Jr.</w:t>
            </w: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2007 to Fiscal 2009</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w:t>
            </w:r>
          </w:p>
        </w:tc>
        <w:tc>
          <w:tcPr>
            <w:tcW w:w="20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2008 to Fiscal 2010</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420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Fiscal 2009 to Fiscal 2011</w:t>
            </w:r>
          </w:p>
        </w:tc>
        <w:tc>
          <w:tcPr>
            <w:tcW w:w="2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ind w:firstLine="391"/>
        <w:spacing w:after="0" w:line="237" w:lineRule="auto"/>
        <w:rPr>
          <w:sz w:val="20"/>
          <w:szCs w:val="20"/>
          <w:color w:val="auto"/>
        </w:rPr>
      </w:pPr>
      <w:r>
        <w:rPr>
          <w:rFonts w:ascii="Arial" w:cs="Arial" w:eastAsia="Arial" w:hAnsi="Arial"/>
          <w:sz w:val="18"/>
          <w:szCs w:val="18"/>
          <w:b w:val="1"/>
          <w:bCs w:val="1"/>
          <w:color w:val="auto"/>
        </w:rPr>
        <w:t xml:space="preserve">Termination By Toro Without Cause. </w:t>
      </w:r>
      <w:r>
        <w:rPr>
          <w:rFonts w:ascii="Arial" w:cs="Arial" w:eastAsia="Arial" w:hAnsi="Arial"/>
          <w:sz w:val="18"/>
          <w:szCs w:val="18"/>
          <w:color w:val="auto"/>
        </w:rPr>
        <w:t>Our executives, including our named executive officers, are not party to, or otherwise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any general severance plans or arrangements. Any severance benefits payable to a named executive officer in the event of termination of employment by us without cause would be determined by the Compensation &amp; Human Resources Committee. In the event a named executive officer were to be terminated by us without cause, the committee would exercise its business judgment in determining whether or not a separation arrangement was appropriate and would determine the terms of any separation arrangement in light of all relevant facts and circumstances, including the executive's term of employment, past accomplishments and reasons for termination. Any separation arrangement typically would require the executive to sign a general release and waiver of claims against us and to comply with confidentiality and non-compete restrictions. Payment of any severance benefits generally would be made in equal installments over regular payroll periods. In the absence of any agreement to the contrary, the executive would have a period of up to three months to exercise any of his or her stock options that had vested at the time of termination. All stock options that had not vested at the time of termination would be canceled and all performance share awards would be canceled. At the discretion of the committee, the vesting of any outstanding stock options may be accelerated and the exercise period extended (but not later than the date the stock options expire).</w:t>
      </w:r>
    </w:p>
    <w:p>
      <w:pPr>
        <w:spacing w:after="0" w:line="216" w:lineRule="exact"/>
        <w:rPr>
          <w:sz w:val="20"/>
          <w:szCs w:val="20"/>
          <w:color w:val="auto"/>
        </w:rPr>
      </w:pPr>
    </w:p>
    <w:p>
      <w:pPr>
        <w:ind w:right="600" w:firstLine="391"/>
        <w:spacing w:after="0" w:line="239" w:lineRule="auto"/>
        <w:rPr>
          <w:sz w:val="20"/>
          <w:szCs w:val="20"/>
          <w:color w:val="auto"/>
        </w:rPr>
      </w:pPr>
      <w:r>
        <w:rPr>
          <w:rFonts w:ascii="Arial" w:cs="Arial" w:eastAsia="Arial" w:hAnsi="Arial"/>
          <w:sz w:val="18"/>
          <w:szCs w:val="18"/>
          <w:color w:val="auto"/>
        </w:rPr>
        <w:t>In the event of the termination of a named executive officer on October 31, 2009, the amounts reflected in the "Nonqualified Deferred Compensation for Fiscal 2009" table on page 57 would be payable to the executive in accordance with his prior elections.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8"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firstLine="391"/>
        <w:spacing w:after="0" w:line="277" w:lineRule="auto"/>
        <w:rPr>
          <w:sz w:val="20"/>
          <w:szCs w:val="20"/>
          <w:color w:val="auto"/>
        </w:rPr>
      </w:pPr>
      <w:r>
        <w:rPr>
          <w:rFonts w:ascii="Arial" w:cs="Arial" w:eastAsia="Arial" w:hAnsi="Arial"/>
          <w:sz w:val="16"/>
          <w:szCs w:val="16"/>
          <w:b w:val="1"/>
          <w:bCs w:val="1"/>
          <w:color w:val="auto"/>
        </w:rPr>
        <w:t xml:space="preserve">Voluntary Termination by a Named Executive Officer or Termination by Toro With Cause. </w:t>
      </w:r>
      <w:r>
        <w:rPr>
          <w:rFonts w:ascii="Arial" w:cs="Arial" w:eastAsia="Arial" w:hAnsi="Arial"/>
          <w:sz w:val="16"/>
          <w:szCs w:val="16"/>
          <w:color w:val="auto"/>
        </w:rPr>
        <w:t>If any of our executives, including our</w:t>
      </w:r>
      <w:r>
        <w:rPr>
          <w:rFonts w:ascii="Arial" w:cs="Arial" w:eastAsia="Arial" w:hAnsi="Arial"/>
          <w:sz w:val="16"/>
          <w:szCs w:val="16"/>
          <w:b w:val="1"/>
          <w:bCs w:val="1"/>
          <w:color w:val="auto"/>
        </w:rPr>
        <w:t xml:space="preserve"> </w:t>
      </w:r>
      <w:r>
        <w:rPr>
          <w:rFonts w:ascii="Arial" w:cs="Arial" w:eastAsia="Arial" w:hAnsi="Arial"/>
          <w:sz w:val="16"/>
          <w:szCs w:val="16"/>
          <w:color w:val="auto"/>
        </w:rPr>
        <w:t>named executive officers, voluntarily terminates his or her employment with us, other than in the case of his or her retirement, or if we terminate an executive's employment for cause, the executive will have a period of up to three months to exercise any of his or her stock options that had vested at the time of termination. All stock options that had not vested at the time of termination would be canceled and all performance share awards would be canceled. In the event of the termination of a named executive officer on October 31, 2009, the amounts reflected in the "Nonqualified Deferred Compensation for Fiscal 2009" table on page 57 would be payable to the executive in accordance with his prior elections.</w:t>
      </w:r>
    </w:p>
    <w:p>
      <w:pPr>
        <w:spacing w:after="0" w:line="157" w:lineRule="exact"/>
        <w:rPr>
          <w:sz w:val="20"/>
          <w:szCs w:val="20"/>
          <w:color w:val="auto"/>
        </w:rPr>
      </w:pPr>
    </w:p>
    <w:p>
      <w:pPr>
        <w:ind w:right="320" w:firstLine="391"/>
        <w:spacing w:after="0" w:line="264"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If we experience a change of control, as generally defined below, whether or not there is a qualifying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w:t>
      </w:r>
    </w:p>
    <w:p>
      <w:pPr>
        <w:spacing w:after="0" w:line="188" w:lineRule="exact"/>
        <w:rPr>
          <w:sz w:val="20"/>
          <w:szCs w:val="20"/>
          <w:color w:val="auto"/>
        </w:rPr>
      </w:pPr>
    </w:p>
    <w:p>
      <w:pPr>
        <w:ind w:left="1080" w:right="100" w:hanging="532"/>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three years following the change of control (but not later than the date the stock options expire); and</w:t>
      </w:r>
    </w:p>
    <w:p>
      <w:pPr>
        <w:spacing w:after="0" w:line="208"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outstanding performance share awards for award terms in progress at the time of the change of control immediately vest and become immediately payable at maximum in shares of our common stock.</w:t>
      </w:r>
    </w:p>
    <w:p>
      <w:pPr>
        <w:spacing w:after="0" w:line="209" w:lineRule="exact"/>
        <w:rPr>
          <w:sz w:val="20"/>
          <w:szCs w:val="20"/>
          <w:color w:val="auto"/>
        </w:rPr>
      </w:pPr>
    </w:p>
    <w:p>
      <w:pPr>
        <w:jc w:val="both"/>
        <w:ind w:right="60" w:firstLine="391"/>
        <w:spacing w:after="0" w:line="281" w:lineRule="auto"/>
        <w:rPr>
          <w:sz w:val="20"/>
          <w:szCs w:val="20"/>
          <w:color w:val="auto"/>
        </w:rPr>
      </w:pPr>
      <w:r>
        <w:rPr>
          <w:rFonts w:ascii="Arial" w:cs="Arial" w:eastAsia="Arial" w:hAnsi="Arial"/>
          <w:sz w:val="16"/>
          <w:szCs w:val="16"/>
          <w:color w:val="auto"/>
        </w:rPr>
        <w:t>In addition, if we experience a change of control, employment agreements that we have with certain of our executives, including each of our named executive officers, automatically become effective. Unless and until we experience a change of control, the employment agreements have no effect and do not require us to retain any of our named executive officers or to pay any of them any specified level of compensation or benefits.</w:t>
      </w:r>
    </w:p>
    <w:p>
      <w:pPr>
        <w:spacing w:after="0" w:line="178" w:lineRule="exact"/>
        <w:rPr>
          <w:sz w:val="20"/>
          <w:szCs w:val="20"/>
          <w:color w:val="auto"/>
        </w:rPr>
      </w:pPr>
    </w:p>
    <w:p>
      <w:pPr>
        <w:ind w:right="340" w:firstLine="391"/>
        <w:spacing w:after="0" w:line="239" w:lineRule="auto"/>
        <w:rPr>
          <w:sz w:val="20"/>
          <w:szCs w:val="20"/>
          <w:color w:val="auto"/>
        </w:rPr>
      </w:pPr>
      <w:r>
        <w:rPr>
          <w:rFonts w:ascii="Arial" w:cs="Arial" w:eastAsia="Arial" w:hAnsi="Arial"/>
          <w:sz w:val="18"/>
          <w:szCs w:val="18"/>
          <w:color w:val="auto"/>
        </w:rPr>
        <w:t>For purposes of these employment agreements and other change of control arrangements, and subject to some exceptions, a "change of control" is deemed to have occurred if:</w:t>
      </w:r>
    </w:p>
    <w:p>
      <w:pPr>
        <w:spacing w:after="0" w:line="209" w:lineRule="exact"/>
        <w:rPr>
          <w:sz w:val="20"/>
          <w:szCs w:val="20"/>
          <w:color w:val="auto"/>
        </w:rPr>
      </w:pPr>
    </w:p>
    <w:p>
      <w:pPr>
        <w:ind w:left="1080" w:right="140" w:hanging="532"/>
        <w:spacing w:after="0" w:line="23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another person becomes the beneficial owner of at least 15% of our then-outstanding common stock or the combined voting power of our then-outstanding voting stock;</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majority of our Board becomes comprised of persons other than those for whom election proxies have been solicited by our Board;</w:t>
      </w:r>
    </w:p>
    <w:p>
      <w:pPr>
        <w:spacing w:after="0" w:line="234" w:lineRule="exact"/>
        <w:rPr>
          <w:rFonts w:ascii="Arial" w:cs="Arial" w:eastAsia="Arial" w:hAnsi="Arial"/>
          <w:sz w:val="16"/>
          <w:szCs w:val="16"/>
          <w:color w:val="auto"/>
        </w:rPr>
      </w:pPr>
    </w:p>
    <w:p>
      <w:pPr>
        <w:ind w:left="1080" w:hanging="532"/>
        <w:spacing w:after="0" w:line="23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Each employment agreement provides that for three years after a change of control:</w:t>
      </w:r>
    </w:p>
    <w:p>
      <w:pPr>
        <w:spacing w:after="0" w:line="212" w:lineRule="exact"/>
        <w:rPr>
          <w:sz w:val="20"/>
          <w:szCs w:val="20"/>
          <w:color w:val="auto"/>
        </w:rPr>
      </w:pPr>
    </w:p>
    <w:p>
      <w:pPr>
        <w:ind w:left="5620" w:right="3560" w:hanging="5072"/>
        <w:spacing w:after="0" w:line="489" w:lineRule="auto"/>
        <w:tabs>
          <w:tab w:leader="none" w:pos="1092"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must employ the named executive officer and he agrees to remain employed by us;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20" w:hanging="532"/>
        <w:spacing w:after="0" w:line="23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named executive officer's position, authority, duties and responsibilities must be substantially the same as immediately before the change of control;</w:t>
      </w:r>
    </w:p>
    <w:p>
      <w:pPr>
        <w:spacing w:after="0" w:line="208"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named executive officer's services must be performed at the location where he was employed immediately before the change of control or within 35 miles from such location;</w:t>
      </w:r>
    </w:p>
    <w:p>
      <w:pPr>
        <w:spacing w:after="0" w:line="195" w:lineRule="exact"/>
        <w:rPr>
          <w:rFonts w:ascii="Arial" w:cs="Arial" w:eastAsia="Arial" w:hAnsi="Arial"/>
          <w:sz w:val="18"/>
          <w:szCs w:val="18"/>
          <w:color w:val="auto"/>
        </w:rPr>
      </w:pPr>
    </w:p>
    <w:p>
      <w:pPr>
        <w:ind w:left="1080" w:right="300" w:hanging="532"/>
        <w:spacing w:after="0" w:line="23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named executive officer must be paid a monthly base salary equal to the highest monthly base salary paid to him immediately before the change of control, including any amounts deferred by the executive;</w:t>
      </w:r>
    </w:p>
    <w:p>
      <w:pPr>
        <w:spacing w:after="0" w:line="195"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named executive officer must be awarded for each fiscal year an annual bonus in cash at least equal to his highest bonus under our annual management incentive plans for the last three full fiscal years before the change of control which, absent any deferrals by the executive, must be paid no later than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following fiscal year;</w:t>
      </w:r>
    </w:p>
    <w:p>
      <w:pPr>
        <w:spacing w:after="0" w:line="73" w:lineRule="exact"/>
        <w:rPr>
          <w:rFonts w:ascii="Arial" w:cs="Arial" w:eastAsia="Arial" w:hAnsi="Arial"/>
          <w:sz w:val="18"/>
          <w:szCs w:val="18"/>
          <w:color w:val="auto"/>
        </w:rPr>
      </w:pPr>
    </w:p>
    <w:p>
      <w:pPr>
        <w:ind w:left="1080" w:right="320" w:hanging="532"/>
        <w:spacing w:after="0" w:line="281"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named executive officer must be entitled to participate in all incentive, savings and retirement plans, practices, policies and programs and receive benefits under all welfare benefit plans, practices, policies and programs applicable generally to other peer executives of our Company and provided that they are on at least as favorable terms as before the change of control; and</w:t>
      </w:r>
    </w:p>
    <w:p>
      <w:pPr>
        <w:spacing w:after="0" w:line="164" w:lineRule="exact"/>
        <w:rPr>
          <w:rFonts w:ascii="Arial" w:cs="Arial" w:eastAsia="Arial" w:hAnsi="Arial"/>
          <w:sz w:val="16"/>
          <w:szCs w:val="16"/>
          <w:color w:val="auto"/>
        </w:rPr>
      </w:pPr>
    </w:p>
    <w:p>
      <w:pPr>
        <w:ind w:left="1080" w:right="220" w:hanging="532"/>
        <w:spacing w:after="0" w:line="23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named executive officer must be entitled to receive prompt reimbursement for expenses, fringe benefits, vacation and an office and support staff on at least as favorable terms as before the change of control.</w:t>
      </w:r>
    </w:p>
    <w:p>
      <w:pPr>
        <w:spacing w:after="0" w:line="209" w:lineRule="exact"/>
        <w:rPr>
          <w:sz w:val="20"/>
          <w:szCs w:val="20"/>
          <w:color w:val="auto"/>
        </w:rPr>
      </w:pPr>
    </w:p>
    <w:p>
      <w:pPr>
        <w:ind w:firstLine="387"/>
        <w:spacing w:after="0" w:line="236" w:lineRule="auto"/>
        <w:rPr>
          <w:sz w:val="20"/>
          <w:szCs w:val="20"/>
          <w:color w:val="auto"/>
        </w:rPr>
      </w:pPr>
      <w:r>
        <w:rPr>
          <w:rFonts w:ascii="Arial" w:cs="Arial" w:eastAsia="Arial" w:hAnsi="Arial"/>
          <w:sz w:val="18"/>
          <w:szCs w:val="18"/>
          <w:color w:val="auto"/>
        </w:rPr>
        <w:t>The employment agreements also require us to provide certain payments and benefits to the named executive officers upon the termination of their employment if the termination occurs during the three-year period after the change of control, before the change of control in anticipation of the change of control, or at the request of a third party who took actions to cause the change of control. The type and amount of payments and benefits to be provided to the named executive officer depends upon whether the executive's employment is terminated by the Company with or without "cause," by the executive for or not for "good reason," by us as a result of the executive's disability or automatically upon the executive's death.</w:t>
      </w:r>
    </w:p>
    <w:p>
      <w:pPr>
        <w:spacing w:after="0" w:line="210" w:lineRule="exact"/>
        <w:rPr>
          <w:sz w:val="20"/>
          <w:szCs w:val="20"/>
          <w:color w:val="auto"/>
        </w:rPr>
      </w:pPr>
    </w:p>
    <w:p>
      <w:pPr>
        <w:ind w:right="420" w:firstLine="391"/>
        <w:spacing w:after="0" w:line="239" w:lineRule="auto"/>
        <w:rPr>
          <w:sz w:val="20"/>
          <w:szCs w:val="20"/>
          <w:color w:val="auto"/>
        </w:rPr>
      </w:pPr>
      <w:r>
        <w:rPr>
          <w:rFonts w:ascii="Arial" w:cs="Arial" w:eastAsia="Arial" w:hAnsi="Arial"/>
          <w:sz w:val="18"/>
          <w:szCs w:val="18"/>
          <w:color w:val="auto"/>
        </w:rPr>
        <w:t>If the named executive officer's employment is terminated by us other than with "cause" or if the executive terminates his employment for "good reason," the executive is entitled to receive:</w:t>
      </w:r>
    </w:p>
    <w:p>
      <w:pPr>
        <w:spacing w:after="0" w:line="209" w:lineRule="exact"/>
        <w:rPr>
          <w:sz w:val="20"/>
          <w:szCs w:val="20"/>
          <w:color w:val="auto"/>
        </w:rPr>
      </w:pPr>
    </w:p>
    <w:p>
      <w:pPr>
        <w:ind w:left="1080" w:right="40" w:hanging="532"/>
        <w:spacing w:after="0" w:line="23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salary, annual incentive payments, deferred compensation and vacation pay accrued but unpaid through the date of termination in one lump sum payment within 30 days of the date of termination;</w:t>
      </w:r>
    </w:p>
    <w:p>
      <w:pPr>
        <w:spacing w:after="0" w:line="208" w:lineRule="exact"/>
        <w:rPr>
          <w:rFonts w:ascii="Arial" w:cs="Arial" w:eastAsia="Arial" w:hAnsi="Arial"/>
          <w:sz w:val="18"/>
          <w:szCs w:val="18"/>
          <w:color w:val="auto"/>
        </w:rPr>
      </w:pPr>
    </w:p>
    <w:p>
      <w:pPr>
        <w:ind w:left="1080" w:right="20" w:hanging="532"/>
        <w:spacing w:after="0" w:line="23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severance payment equal to three times the sum of his then current annual base salary and highest annual bonus (which is the greater of the most recent fiscal year annual bonus paid to the executive or the highest annual bonus paid to the executive during the last three fiscal years) in one lump sum payment within 30 days of the date of termination;</w:t>
      </w:r>
    </w:p>
    <w:p>
      <w:pPr>
        <w:spacing w:after="0" w:line="194" w:lineRule="exact"/>
        <w:rPr>
          <w:rFonts w:ascii="Arial" w:cs="Arial" w:eastAsia="Arial" w:hAnsi="Arial"/>
          <w:sz w:val="18"/>
          <w:szCs w:val="18"/>
          <w:color w:val="auto"/>
        </w:rPr>
      </w:pPr>
    </w:p>
    <w:p>
      <w:pPr>
        <w:ind w:left="1080" w:right="180" w:hanging="532"/>
        <w:spacing w:after="0" w:line="23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payment equal to the amount he would have received under our retirement plans had the executive remained employed by us for an additional three years in one lump sum payment within 30 days of the date of termination;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benefits under our welfare benefit plans for the executive and his family for a period of three additional years;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outplacement services; and</w:t>
      </w:r>
    </w:p>
    <w:p>
      <w:pPr>
        <w:spacing w:after="0" w:line="198" w:lineRule="exact"/>
        <w:rPr>
          <w:rFonts w:ascii="Arial" w:cs="Arial" w:eastAsia="Arial" w:hAnsi="Arial"/>
          <w:sz w:val="18"/>
          <w:szCs w:val="18"/>
          <w:color w:val="auto"/>
        </w:rPr>
      </w:pPr>
    </w:p>
    <w:p>
      <w:pPr>
        <w:ind w:left="1080" w:right="100" w:hanging="532"/>
        <w:spacing w:after="0" w:line="23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payment, or "gross-up," in the event an excise tax is imposed on payments under the agreement, so that after the payment of all taxes, including income and excise taxes, the executive will be in the same after-tax position as if no excise tax under applicable federal or state tax laws had been imposed.</w:t>
      </w:r>
    </w:p>
    <w:p>
      <w:pPr>
        <w:spacing w:after="0" w:line="208" w:lineRule="exact"/>
        <w:rPr>
          <w:sz w:val="20"/>
          <w:szCs w:val="20"/>
          <w:color w:val="auto"/>
        </w:rPr>
      </w:pPr>
    </w:p>
    <w:p>
      <w:pPr>
        <w:ind w:right="100" w:firstLine="387"/>
        <w:spacing w:after="0" w:line="236" w:lineRule="auto"/>
        <w:rPr>
          <w:sz w:val="20"/>
          <w:szCs w:val="20"/>
          <w:color w:val="auto"/>
        </w:rPr>
      </w:pPr>
      <w:r>
        <w:rPr>
          <w:rFonts w:ascii="Arial" w:cs="Arial" w:eastAsia="Arial" w:hAnsi="Arial"/>
          <w:sz w:val="18"/>
          <w:szCs w:val="18"/>
          <w:color w:val="auto"/>
        </w:rPr>
        <w:t>These benefits would be paid in addition to any other amounts or benefits required to be paid or provided to the executive under any other plan, program, policy or practice of the Company or agreement between the executive and the Company. For purposes of these agreements, "cause" is defined to include the willful and continued failure of the executive to perform substantially his duties or the willful engaging by the executive in illegal conduct or gross misconduct which is materially and demonstrably injurious to the Company. "Good reason" is defined to include a demotion, reduction in compensation, relocation, excess travel or a termination by the executive for any reason during the 30-day period immediately following the first anniversary of the employment agreement.</w:t>
      </w:r>
    </w:p>
    <w:p>
      <w:pPr>
        <w:spacing w:after="0" w:line="210" w:lineRule="exact"/>
        <w:rPr>
          <w:sz w:val="20"/>
          <w:szCs w:val="20"/>
          <w:color w:val="auto"/>
        </w:rPr>
      </w:pPr>
    </w:p>
    <w:p>
      <w:pPr>
        <w:ind w:right="40" w:firstLine="391"/>
        <w:spacing w:after="0" w:line="268" w:lineRule="auto"/>
        <w:rPr>
          <w:sz w:val="20"/>
          <w:szCs w:val="20"/>
          <w:color w:val="auto"/>
        </w:rPr>
      </w:pPr>
      <w:r>
        <w:rPr>
          <w:rFonts w:ascii="Arial" w:cs="Arial" w:eastAsia="Arial" w:hAnsi="Arial"/>
          <w:sz w:val="16"/>
          <w:szCs w:val="16"/>
          <w:color w:val="auto"/>
        </w:rPr>
        <w:t>If a named executive officer's employment terminates as a result of his death or disability, the executive is entitled to receive all salary, annual incentive payments and vacation pay accrued but unpaid through his termination date in one lump sum payment within 30 days of the termination date. The executive also is entitled to receive any other amounts or benefits required to be paid or provided to the executive under any other plan, program, policy or practice of the Company or agreement between the executive and the Company. If we terminate the executive's employment for "cause," the executive is entitled to receive all salary accrued but unpaid through the date of termination in one lump sum payment within 30 days of the date of termination and any other amounts or benefits required to be paid or provided to the executive under any other plan, program, policy or practice of the Company or agreement between the executive and the Company. In the event of death, disability or termination for cause, any deferred compensation and retirement benefits would be payable in accordance with the named executive officer's prior elections. In the event of the death, disability or termination for cause of a named executive officer on October 31, 2009, the amounts reflected in the "Nonqualified Deferred Compensation for Fiscal 2009" table on page 57 would be payable to the executive in accordance with his prior elections.</w:t>
      </w:r>
    </w:p>
    <w:p>
      <w:pPr>
        <w:spacing w:after="0" w:line="187" w:lineRule="exact"/>
        <w:rPr>
          <w:sz w:val="20"/>
          <w:szCs w:val="20"/>
          <w:color w:val="auto"/>
        </w:rPr>
      </w:pPr>
    </w:p>
    <w:p>
      <w:pPr>
        <w:ind w:right="40" w:firstLine="391"/>
        <w:spacing w:after="0" w:line="236" w:lineRule="auto"/>
        <w:rPr>
          <w:sz w:val="20"/>
          <w:szCs w:val="20"/>
          <w:color w:val="auto"/>
        </w:rPr>
      </w:pPr>
      <w:r>
        <w:rPr>
          <w:rFonts w:ascii="Arial" w:cs="Arial" w:eastAsia="Arial" w:hAnsi="Arial"/>
          <w:sz w:val="18"/>
          <w:szCs w:val="18"/>
          <w:color w:val="auto"/>
        </w:rPr>
        <w:t>We have established a trust for the benefit of our named executive officers (and certain other executives and employees) which, in the event of a change of control, must be funded in an amount equal to our accrued liability arising under the employment agreements. In addition, under our deferred compensation and retirement plans, upon the occurrence of a change of control, we must transfer cash or property to a trust for the benefit of plan participants in an amount equal to the present value of all accumulated or accrued benefits then payable to or on behalf of plan participants.</w:t>
      </w:r>
    </w:p>
    <w:p>
      <w:pPr>
        <w:spacing w:after="0" w:line="211" w:lineRule="exact"/>
        <w:rPr>
          <w:sz w:val="20"/>
          <w:szCs w:val="20"/>
          <w:color w:val="auto"/>
        </w:rPr>
      </w:pPr>
    </w:p>
    <w:p>
      <w:pPr>
        <w:ind w:firstLine="387"/>
        <w:spacing w:after="0" w:line="239" w:lineRule="auto"/>
        <w:rPr>
          <w:sz w:val="20"/>
          <w:szCs w:val="20"/>
          <w:color w:val="auto"/>
        </w:rPr>
      </w:pPr>
      <w:r>
        <w:rPr>
          <w:rFonts w:ascii="Arial" w:cs="Arial" w:eastAsia="Arial" w:hAnsi="Arial"/>
          <w:sz w:val="18"/>
          <w:szCs w:val="18"/>
          <w:color w:val="auto"/>
        </w:rPr>
        <w:t>The following tables quantify the potential payments to each of our named executive officers upon a change of control of our Company without any termination of employment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event. For purposes of these calculations, we have assumed the change of control event occurred on October 31, 2009.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8"/>
          </w:tcPr>
          <w:p>
            <w:pPr>
              <w:ind w:left="580"/>
              <w:spacing w:after="0"/>
              <w:rPr>
                <w:sz w:val="20"/>
                <w:szCs w:val="20"/>
                <w:color w:val="auto"/>
              </w:rPr>
            </w:pPr>
            <w:r>
              <w:rPr>
                <w:rFonts w:ascii="Arial" w:cs="Arial" w:eastAsia="Arial" w:hAnsi="Arial"/>
                <w:sz w:val="18"/>
                <w:szCs w:val="18"/>
                <w:b w:val="1"/>
                <w:bCs w:val="1"/>
                <w:color w:val="auto"/>
              </w:rPr>
              <w:t>Potential Payments Upon A Change Of Control</w:t>
            </w:r>
          </w:p>
        </w:tc>
      </w:tr>
      <w:tr>
        <w:trPr>
          <w:trHeight w:val="221"/>
        </w:trPr>
        <w:tc>
          <w:tcPr>
            <w:tcW w:w="1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8"/>
                <w:szCs w:val="18"/>
                <w:b w:val="1"/>
                <w:bCs w:val="1"/>
                <w:color w:val="auto"/>
                <w:w w:val="97"/>
              </w:rPr>
              <w:t>Without Any Termination Event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77"/>
        </w:trPr>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center"/>
              <w:ind w:right="152"/>
              <w:spacing w:after="0" w:line="177" w:lineRule="exact"/>
              <w:rPr>
                <w:sz w:val="20"/>
                <w:szCs w:val="20"/>
                <w:color w:val="auto"/>
              </w:rPr>
            </w:pPr>
            <w:r>
              <w:rPr>
                <w:rFonts w:ascii="Arial" w:cs="Arial" w:eastAsia="Arial" w:hAnsi="Arial"/>
                <w:sz w:val="18"/>
                <w:szCs w:val="18"/>
                <w:b w:val="1"/>
                <w:bCs w:val="1"/>
                <w:color w:val="auto"/>
                <w:w w:val="98"/>
              </w:rPr>
              <w:t>Unvested &amp;</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6"/>
              </w:rPr>
              <w:t>Unvested &amp;</w:t>
            </w:r>
          </w:p>
        </w:tc>
        <w:tc>
          <w:tcPr>
            <w:tcW w:w="320" w:type="dxa"/>
            <w:vAlign w:val="bottom"/>
          </w:tcPr>
          <w:p>
            <w:pPr>
              <w:spacing w:after="0"/>
              <w:rPr>
                <w:sz w:val="17"/>
                <w:szCs w:val="17"/>
                <w:color w:val="auto"/>
              </w:rPr>
            </w:pPr>
          </w:p>
        </w:tc>
        <w:tc>
          <w:tcPr>
            <w:tcW w:w="1300" w:type="dxa"/>
            <w:vAlign w:val="bottom"/>
          </w:tcPr>
          <w:p>
            <w:pPr>
              <w:jc w:val="center"/>
              <w:ind w:right="152"/>
              <w:spacing w:after="0" w:line="202" w:lineRule="exact"/>
              <w:rPr>
                <w:sz w:val="20"/>
                <w:szCs w:val="20"/>
                <w:color w:val="auto"/>
              </w:rPr>
            </w:pPr>
            <w:r>
              <w:rPr>
                <w:rFonts w:ascii="Arial" w:cs="Arial" w:eastAsia="Arial" w:hAnsi="Arial"/>
                <w:sz w:val="18"/>
                <w:szCs w:val="18"/>
                <w:b w:val="1"/>
                <w:bCs w:val="1"/>
                <w:color w:val="auto"/>
                <w:w w:val="95"/>
              </w:rPr>
              <w:t>Accelerated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Accelerated</w:t>
            </w:r>
          </w:p>
        </w:tc>
        <w:tc>
          <w:tcPr>
            <w:tcW w:w="320" w:type="dxa"/>
            <w:vAlign w:val="bottom"/>
          </w:tcPr>
          <w:p>
            <w:pPr>
              <w:spacing w:after="0"/>
              <w:rPr>
                <w:sz w:val="17"/>
                <w:szCs w:val="17"/>
                <w:color w:val="auto"/>
              </w:rPr>
            </w:pPr>
          </w:p>
        </w:tc>
        <w:tc>
          <w:tcPr>
            <w:tcW w:w="1300" w:type="dxa"/>
            <w:vAlign w:val="bottom"/>
          </w:tcPr>
          <w:p>
            <w:pPr>
              <w:jc w:val="center"/>
              <w:ind w:right="152"/>
              <w:spacing w:after="0" w:line="202" w:lineRule="exact"/>
              <w:rPr>
                <w:sz w:val="20"/>
                <w:szCs w:val="20"/>
                <w:color w:val="auto"/>
              </w:rPr>
            </w:pPr>
            <w:r>
              <w:rPr>
                <w:rFonts w:ascii="Arial" w:cs="Arial" w:eastAsia="Arial" w:hAnsi="Arial"/>
                <w:sz w:val="18"/>
                <w:szCs w:val="18"/>
                <w:b w:val="1"/>
                <w:bCs w:val="1"/>
                <w:color w:val="auto"/>
                <w:w w:val="96"/>
              </w:rPr>
              <w:t>Performance</w:t>
            </w:r>
          </w:p>
        </w:tc>
        <w:tc>
          <w:tcPr>
            <w:tcW w:w="116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280G Tax</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b w:val="1"/>
                <w:bCs w:val="1"/>
                <w:color w:val="auto"/>
                <w:w w:val="97"/>
              </w:rPr>
              <w:t>Stock</w:t>
            </w:r>
          </w:p>
        </w:tc>
        <w:tc>
          <w:tcPr>
            <w:tcW w:w="320" w:type="dxa"/>
            <w:vAlign w:val="bottom"/>
          </w:tcPr>
          <w:p>
            <w:pPr>
              <w:spacing w:after="0"/>
              <w:rPr>
                <w:sz w:val="17"/>
                <w:szCs w:val="17"/>
                <w:color w:val="auto"/>
              </w:rPr>
            </w:pPr>
          </w:p>
        </w:tc>
        <w:tc>
          <w:tcPr>
            <w:tcW w:w="1300" w:type="dxa"/>
            <w:vAlign w:val="bottom"/>
          </w:tcPr>
          <w:p>
            <w:pPr>
              <w:jc w:val="center"/>
              <w:ind w:right="152"/>
              <w:spacing w:after="0"/>
              <w:rPr>
                <w:sz w:val="20"/>
                <w:szCs w:val="20"/>
                <w:color w:val="auto"/>
              </w:rPr>
            </w:pPr>
            <w:r>
              <w:rPr>
                <w:rFonts w:ascii="Arial" w:cs="Arial" w:eastAsia="Arial" w:hAnsi="Arial"/>
                <w:sz w:val="18"/>
                <w:szCs w:val="18"/>
                <w:b w:val="1"/>
                <w:bCs w:val="1"/>
                <w:color w:val="auto"/>
                <w:w w:val="99"/>
              </w:rPr>
              <w:t>Share</w:t>
            </w: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Gross-Up</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5"/>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72"/>
              <w:spacing w:after="0" w:line="285" w:lineRule="exact"/>
              <w:rPr>
                <w:sz w:val="20"/>
                <w:szCs w:val="20"/>
                <w:color w:val="auto"/>
              </w:rPr>
            </w:pPr>
            <w:r>
              <w:rPr>
                <w:rFonts w:ascii="Arial" w:cs="Arial" w:eastAsia="Arial" w:hAnsi="Arial"/>
                <w:sz w:val="18"/>
                <w:szCs w:val="18"/>
                <w:b w:val="1"/>
                <w:bCs w:val="1"/>
                <w:color w:val="auto"/>
                <w:w w:val="91"/>
              </w:rPr>
              <w:t>Options</w:t>
            </w:r>
            <w:r>
              <w:rPr>
                <w:rFonts w:ascii="Arial" w:cs="Arial" w:eastAsia="Arial" w:hAnsi="Arial"/>
                <w:sz w:val="29"/>
                <w:szCs w:val="29"/>
                <w:b w:val="1"/>
                <w:bCs w:val="1"/>
                <w:color w:val="auto"/>
                <w:w w:val="91"/>
                <w:vertAlign w:val="superscript"/>
              </w:rPr>
              <w:t>(1)</w:t>
            </w:r>
          </w:p>
        </w:tc>
        <w:tc>
          <w:tcPr>
            <w:tcW w:w="320" w:type="dxa"/>
            <w:vAlign w:val="bottom"/>
          </w:tcPr>
          <w:p>
            <w:pPr>
              <w:spacing w:after="0"/>
              <w:rPr>
                <w:sz w:val="24"/>
                <w:szCs w:val="24"/>
                <w:color w:val="auto"/>
              </w:rPr>
            </w:pPr>
          </w:p>
        </w:tc>
        <w:tc>
          <w:tcPr>
            <w:tcW w:w="1300" w:type="dxa"/>
            <w:vAlign w:val="bottom"/>
          </w:tcPr>
          <w:p>
            <w:pPr>
              <w:jc w:val="center"/>
              <w:ind w:right="152"/>
              <w:spacing w:after="0" w:line="285" w:lineRule="exact"/>
              <w:rPr>
                <w:sz w:val="20"/>
                <w:szCs w:val="20"/>
                <w:color w:val="auto"/>
              </w:rPr>
            </w:pPr>
            <w:r>
              <w:rPr>
                <w:rFonts w:ascii="Arial" w:cs="Arial" w:eastAsia="Arial" w:hAnsi="Arial"/>
                <w:sz w:val="18"/>
                <w:szCs w:val="18"/>
                <w:b w:val="1"/>
                <w:bCs w:val="1"/>
                <w:color w:val="auto"/>
                <w:w w:val="92"/>
              </w:rPr>
              <w:t>Awards</w:t>
            </w:r>
            <w:r>
              <w:rPr>
                <w:rFonts w:ascii="Arial" w:cs="Arial" w:eastAsia="Arial" w:hAnsi="Arial"/>
                <w:sz w:val="29"/>
                <w:szCs w:val="29"/>
                <w:b w:val="1"/>
                <w:bCs w:val="1"/>
                <w:color w:val="auto"/>
                <w:w w:val="92"/>
                <w:vertAlign w:val="superscript"/>
              </w:rPr>
              <w:t>(2)</w:t>
            </w:r>
          </w:p>
        </w:tc>
        <w:tc>
          <w:tcPr>
            <w:tcW w:w="1160" w:type="dxa"/>
            <w:vAlign w:val="bottom"/>
            <w:gridSpan w:val="2"/>
          </w:tcPr>
          <w:p>
            <w:pPr>
              <w:ind w:left="120"/>
              <w:spacing w:after="0" w:line="285" w:lineRule="exact"/>
              <w:rPr>
                <w:sz w:val="20"/>
                <w:szCs w:val="20"/>
                <w:color w:val="auto"/>
              </w:rPr>
            </w:pPr>
            <w:r>
              <w:rPr>
                <w:rFonts w:ascii="Arial" w:cs="Arial" w:eastAsia="Arial" w:hAnsi="Arial"/>
                <w:sz w:val="18"/>
                <w:szCs w:val="18"/>
                <w:b w:val="1"/>
                <w:bCs w:val="1"/>
                <w:color w:val="auto"/>
              </w:rPr>
              <w:t>Payment</w:t>
            </w:r>
            <w:r>
              <w:rPr>
                <w:rFonts w:ascii="Arial" w:cs="Arial" w:eastAsia="Arial" w:hAnsi="Arial"/>
                <w:sz w:val="29"/>
                <w:szCs w:val="29"/>
                <w:b w:val="1"/>
                <w:bCs w:val="1"/>
                <w:color w:val="auto"/>
                <w:vertAlign w:val="superscript"/>
              </w:rPr>
              <w:t>(3)</w:t>
            </w:r>
          </w:p>
        </w:tc>
        <w:tc>
          <w:tcPr>
            <w:tcW w:w="32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96"/>
        </w:trPr>
        <w:tc>
          <w:tcPr>
            <w:tcW w:w="1160" w:type="dxa"/>
            <w:vAlign w:val="bottom"/>
          </w:tcPr>
          <w:p>
            <w:pPr>
              <w:spacing w:after="0"/>
              <w:rPr>
                <w:sz w:val="17"/>
                <w:szCs w:val="17"/>
                <w:color w:val="auto"/>
              </w:rPr>
            </w:pPr>
          </w:p>
        </w:tc>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Michael J. Hoffman</w:t>
            </w:r>
          </w:p>
        </w:tc>
        <w:tc>
          <w:tcPr>
            <w:tcW w:w="198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774,480</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3,664,980</w:t>
            </w:r>
          </w:p>
        </w:tc>
        <w:tc>
          <w:tcPr>
            <w:tcW w:w="58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4,439,460</w:t>
            </w:r>
          </w:p>
        </w:tc>
        <w:tc>
          <w:tcPr>
            <w:tcW w:w="160" w:type="dxa"/>
            <w:vAlign w:val="bottom"/>
            <w:shd w:val="clear" w:color="auto" w:fill="CCEEFF"/>
          </w:tcPr>
          <w:p>
            <w:pPr>
              <w:spacing w:after="0"/>
              <w:rPr>
                <w:sz w:val="17"/>
                <w:szCs w:val="17"/>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Stephen P. Wolfe</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203,280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977,328</w:t>
            </w: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1,180,608</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M. Ramstad</w:t>
            </w:r>
          </w:p>
        </w:tc>
        <w:tc>
          <w:tcPr>
            <w:tcW w:w="1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131,040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584,916</w:t>
            </w:r>
          </w:p>
        </w:tc>
        <w:tc>
          <w:tcPr>
            <w:tcW w:w="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716,956</w:t>
            </w:r>
          </w:p>
        </w:tc>
        <w:tc>
          <w:tcPr>
            <w:tcW w:w="160" w:type="dxa"/>
            <w:vAlign w:val="bottom"/>
            <w:shd w:val="clear" w:color="auto" w:fill="CCEEFF"/>
          </w:tcPr>
          <w:p>
            <w:pPr>
              <w:spacing w:after="0"/>
              <w:rPr>
                <w:sz w:val="17"/>
                <w:szCs w:val="17"/>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Timothy P. Dordell</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147,000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658,956</w:t>
            </w: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805,956</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William E. Brown, Jr.</w:t>
            </w:r>
          </w:p>
        </w:tc>
        <w:tc>
          <w:tcPr>
            <w:tcW w:w="1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69,720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355,392</w:t>
            </w:r>
          </w:p>
        </w:tc>
        <w:tc>
          <w:tcPr>
            <w:tcW w:w="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425,112</w:t>
            </w:r>
          </w:p>
        </w:tc>
        <w:tc>
          <w:tcPr>
            <w:tcW w:w="160" w:type="dxa"/>
            <w:vAlign w:val="bottom"/>
            <w:shd w:val="clear" w:color="auto" w:fill="CCEEFF"/>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540" w:hanging="532"/>
        <w:spacing w:after="0" w:line="236"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stock options held by a named executive officer and is based on the difference between: (a) $37.02, the market price (closing price, as reported on the NYSE) of the shares of our common stock underlying the unvested stock options held by such executive as of October 30, 2009, the last trading day of our fiscal year ended October 31, 2009, and (b) the exercise price of the stock options. The exercise prices for unvested stock options currently held by our named executive officers range from $28.62 to $54.93.</w:t>
      </w:r>
    </w:p>
    <w:p>
      <w:pPr>
        <w:spacing w:after="0" w:line="211" w:lineRule="exact"/>
        <w:rPr>
          <w:rFonts w:ascii="Arial" w:cs="Arial" w:eastAsia="Arial" w:hAnsi="Arial"/>
          <w:sz w:val="18"/>
          <w:szCs w:val="18"/>
          <w:color w:val="auto"/>
        </w:rPr>
      </w:pPr>
    </w:p>
    <w:p>
      <w:pPr>
        <w:ind w:left="540" w:right="40" w:hanging="532"/>
        <w:spacing w:after="0" w:line="235"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represents the value of the immediate payout of (a) the actual number of shares of our common stock that such executive received as payout for performance share awards for the fiscal 2007 to fiscal 2009 award term (as set forth in the "Option Exercises and Stock Vested for Fiscal 2009" table on page 56 under the "Stock Awards" and "Number of Shares Acquired on Vesting" columns), which was actually paid to the executive on December 8, 2009, and (b) the maximum number of shares of our common stock that such executive would have been entitled to receive as payout for performance share awards for each of the fiscal 2008 to fiscal 2010 award term and the fiscal 2009 to fiscal 2011 award term. Such value is based on: (a) the number of outstanding performance share awards held by such executive as of October 31, 2009 for each of the fiscal 2008 to fiscal 2010 award term and the fiscal 2009 to fiscal 2011 award term, multiplied by (b) $37.02, the market price (closing price, as reported on the NYSE) of our common stock on October 30, 2009, the last trading day of our fiscal year ended October 31, 2009.</w:t>
      </w:r>
    </w:p>
    <w:p>
      <w:pPr>
        <w:spacing w:after="0" w:line="201" w:lineRule="exact"/>
        <w:rPr>
          <w:rFonts w:ascii="Arial" w:cs="Arial" w:eastAsia="Arial" w:hAnsi="Arial"/>
          <w:sz w:val="18"/>
          <w:szCs w:val="18"/>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potential payments do not trigger excise taxes under Section 4999 of the Code and, accordingly, there is no gross-up payment.</w:t>
      </w:r>
    </w:p>
    <w:p>
      <w:pPr>
        <w:spacing w:after="0" w:line="212" w:lineRule="exact"/>
        <w:rPr>
          <w:sz w:val="20"/>
          <w:szCs w:val="20"/>
          <w:color w:val="auto"/>
        </w:rPr>
      </w:pPr>
    </w:p>
    <w:p>
      <w:pPr>
        <w:ind w:firstLine="387"/>
        <w:spacing w:after="0" w:line="237" w:lineRule="auto"/>
        <w:rPr>
          <w:sz w:val="20"/>
          <w:szCs w:val="20"/>
          <w:color w:val="auto"/>
        </w:rPr>
      </w:pPr>
      <w:r>
        <w:rPr>
          <w:rFonts w:ascii="Arial" w:cs="Arial" w:eastAsia="Arial" w:hAnsi="Arial"/>
          <w:sz w:val="18"/>
          <w:szCs w:val="18"/>
          <w:color w:val="auto"/>
        </w:rPr>
        <w:t>The following table quantifies the potential additional payments to each of our named executive officers under the employment agreements if, in anticipation of the change of control, at the request of a third party who took actions to cause the change of control or following a change of control, a named executive officer is terminated by us without "cause" or a named executive officer terminates his employment for "good reason." For</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these calculations, except as otherwise indicated, we have assumed the termination occurred on October 31, 2009.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2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7"/>
              </w:rPr>
              <w:t>Potential Payments In Connection With Or Following A Change Of Control</w:t>
            </w:r>
          </w:p>
        </w:tc>
      </w:tr>
      <w:tr>
        <w:trPr>
          <w:trHeight w:val="221"/>
        </w:trPr>
        <w:tc>
          <w:tcPr>
            <w:tcW w:w="1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2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7"/>
              </w:rPr>
              <w:t>With Termination By Toro Without Cause Or By Executive for Good Reason</w:t>
            </w:r>
          </w:p>
        </w:tc>
      </w:tr>
      <w:tr>
        <w:trPr>
          <w:trHeight w:val="177"/>
        </w:trPr>
        <w:tc>
          <w:tcPr>
            <w:tcW w:w="1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7"/>
              </w:rPr>
              <w:t>Retirement</w:t>
            </w: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32"/>
              <w:spacing w:after="0" w:line="177" w:lineRule="exact"/>
              <w:rPr>
                <w:sz w:val="20"/>
                <w:szCs w:val="20"/>
                <w:color w:val="auto"/>
              </w:rPr>
            </w:pPr>
            <w:r>
              <w:rPr>
                <w:rFonts w:ascii="Arial" w:cs="Arial" w:eastAsia="Arial" w:hAnsi="Arial"/>
                <w:sz w:val="18"/>
                <w:szCs w:val="18"/>
                <w:b w:val="1"/>
                <w:bCs w:val="1"/>
                <w:color w:val="auto"/>
                <w:w w:val="95"/>
              </w:rPr>
              <w:t>Welfare</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112"/>
              <w:spacing w:after="0" w:line="177" w:lineRule="exact"/>
              <w:rPr>
                <w:sz w:val="20"/>
                <w:szCs w:val="20"/>
                <w:color w:val="auto"/>
              </w:rPr>
            </w:pPr>
            <w:r>
              <w:rPr>
                <w:rFonts w:ascii="Arial" w:cs="Arial" w:eastAsia="Arial" w:hAnsi="Arial"/>
                <w:sz w:val="18"/>
                <w:szCs w:val="18"/>
                <w:b w:val="1"/>
                <w:bCs w:val="1"/>
                <w:color w:val="auto"/>
                <w:w w:val="97"/>
              </w:rPr>
              <w:t>280G Tax</w:t>
            </w: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6"/>
        </w:trPr>
        <w:tc>
          <w:tcPr>
            <w:tcW w:w="1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w w:val="95"/>
              </w:rPr>
              <w:t>Severance</w:t>
            </w:r>
          </w:p>
        </w:tc>
        <w:tc>
          <w:tcPr>
            <w:tcW w:w="300" w:type="dxa"/>
            <w:vAlign w:val="bottom"/>
          </w:tcPr>
          <w:p>
            <w:pPr>
              <w:spacing w:after="0"/>
              <w:rPr>
                <w:sz w:val="17"/>
                <w:szCs w:val="17"/>
                <w:color w:val="auto"/>
              </w:rPr>
            </w:pPr>
          </w:p>
        </w:tc>
        <w:tc>
          <w:tcPr>
            <w:tcW w:w="860" w:type="dxa"/>
            <w:vAlign w:val="bottom"/>
          </w:tcPr>
          <w:p>
            <w:pPr>
              <w:jc w:val="center"/>
              <w:ind w:right="212"/>
              <w:spacing w:after="0"/>
              <w:rPr>
                <w:sz w:val="20"/>
                <w:szCs w:val="20"/>
                <w:color w:val="auto"/>
              </w:rPr>
            </w:pPr>
            <w:r>
              <w:rPr>
                <w:rFonts w:ascii="Arial" w:cs="Arial" w:eastAsia="Arial" w:hAnsi="Arial"/>
                <w:sz w:val="18"/>
                <w:szCs w:val="18"/>
                <w:b w:val="1"/>
                <w:bCs w:val="1"/>
                <w:color w:val="auto"/>
                <w:w w:val="94"/>
              </w:rPr>
              <w:t>Plan</w:t>
            </w:r>
          </w:p>
        </w:tc>
        <w:tc>
          <w:tcPr>
            <w:tcW w:w="200" w:type="dxa"/>
            <w:vAlign w:val="bottom"/>
          </w:tcPr>
          <w:p>
            <w:pPr>
              <w:spacing w:after="0"/>
              <w:rPr>
                <w:sz w:val="17"/>
                <w:szCs w:val="17"/>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Plan</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Outplacement</w:t>
            </w:r>
          </w:p>
        </w:tc>
        <w:tc>
          <w:tcPr>
            <w:tcW w:w="200" w:type="dxa"/>
            <w:vAlign w:val="bottom"/>
          </w:tcPr>
          <w:p>
            <w:pPr>
              <w:spacing w:after="0"/>
              <w:rPr>
                <w:sz w:val="17"/>
                <w:szCs w:val="17"/>
                <w:color w:val="auto"/>
              </w:rPr>
            </w:pPr>
          </w:p>
        </w:tc>
        <w:tc>
          <w:tcPr>
            <w:tcW w:w="1060" w:type="dxa"/>
            <w:vAlign w:val="bottom"/>
          </w:tcPr>
          <w:p>
            <w:pPr>
              <w:jc w:val="center"/>
              <w:ind w:right="132"/>
              <w:spacing w:after="0"/>
              <w:rPr>
                <w:sz w:val="20"/>
                <w:szCs w:val="20"/>
                <w:color w:val="auto"/>
              </w:rPr>
            </w:pPr>
            <w:r>
              <w:rPr>
                <w:rFonts w:ascii="Arial" w:cs="Arial" w:eastAsia="Arial" w:hAnsi="Arial"/>
                <w:sz w:val="18"/>
                <w:szCs w:val="18"/>
                <w:b w:val="1"/>
                <w:bCs w:val="1"/>
                <w:color w:val="auto"/>
                <w:w w:val="97"/>
              </w:rPr>
              <w:t>Gross-Up</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5"/>
        </w:trPr>
        <w:tc>
          <w:tcPr>
            <w:tcW w:w="3000" w:type="dxa"/>
            <w:vAlign w:val="bottom"/>
            <w:gridSpan w:val="2"/>
          </w:tcPr>
          <w:p>
            <w:pPr>
              <w:ind w:left="114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4"/>
                <w:szCs w:val="24"/>
                <w:color w:val="auto"/>
              </w:rPr>
            </w:pPr>
          </w:p>
        </w:tc>
        <w:tc>
          <w:tcPr>
            <w:tcW w:w="1160" w:type="dxa"/>
            <w:vAlign w:val="bottom"/>
            <w:gridSpan w:val="2"/>
          </w:tcPr>
          <w:p>
            <w:pPr>
              <w:jc w:val="right"/>
              <w:ind w:right="72"/>
              <w:spacing w:after="0" w:line="285" w:lineRule="exact"/>
              <w:rPr>
                <w:sz w:val="20"/>
                <w:szCs w:val="20"/>
                <w:color w:val="auto"/>
              </w:rPr>
            </w:pPr>
            <w:r>
              <w:rPr>
                <w:rFonts w:ascii="Arial" w:cs="Arial" w:eastAsia="Arial" w:hAnsi="Arial"/>
                <w:sz w:val="18"/>
                <w:szCs w:val="18"/>
                <w:b w:val="1"/>
                <w:bCs w:val="1"/>
                <w:color w:val="auto"/>
                <w:w w:val="99"/>
              </w:rPr>
              <w:t>Payment</w:t>
            </w:r>
            <w:r>
              <w:rPr>
                <w:rFonts w:ascii="Arial" w:cs="Arial" w:eastAsia="Arial" w:hAnsi="Arial"/>
                <w:sz w:val="29"/>
                <w:szCs w:val="29"/>
                <w:b w:val="1"/>
                <w:bCs w:val="1"/>
                <w:color w:val="auto"/>
                <w:w w:val="99"/>
                <w:vertAlign w:val="superscript"/>
              </w:rPr>
              <w:t>(1)</w:t>
            </w:r>
          </w:p>
        </w:tc>
        <w:tc>
          <w:tcPr>
            <w:tcW w:w="1160" w:type="dxa"/>
            <w:vAlign w:val="bottom"/>
            <w:gridSpan w:val="2"/>
          </w:tcPr>
          <w:p>
            <w:pPr>
              <w:jc w:val="center"/>
              <w:spacing w:after="0" w:line="285" w:lineRule="exact"/>
              <w:rPr>
                <w:sz w:val="20"/>
                <w:szCs w:val="20"/>
                <w:color w:val="auto"/>
              </w:rPr>
            </w:pPr>
            <w:r>
              <w:rPr>
                <w:rFonts w:ascii="Arial" w:cs="Arial" w:eastAsia="Arial" w:hAnsi="Arial"/>
                <w:sz w:val="18"/>
                <w:szCs w:val="18"/>
                <w:b w:val="1"/>
                <w:bCs w:val="1"/>
                <w:color w:val="auto"/>
                <w:w w:val="92"/>
              </w:rPr>
              <w:t>Benefits</w:t>
            </w:r>
            <w:r>
              <w:rPr>
                <w:rFonts w:ascii="Arial" w:cs="Arial" w:eastAsia="Arial" w:hAnsi="Arial"/>
                <w:sz w:val="29"/>
                <w:szCs w:val="29"/>
                <w:b w:val="1"/>
                <w:bCs w:val="1"/>
                <w:color w:val="auto"/>
                <w:w w:val="92"/>
                <w:vertAlign w:val="superscript"/>
              </w:rPr>
              <w:t>(2)</w:t>
            </w:r>
          </w:p>
        </w:tc>
        <w:tc>
          <w:tcPr>
            <w:tcW w:w="1060" w:type="dxa"/>
            <w:vAlign w:val="bottom"/>
            <w:gridSpan w:val="2"/>
          </w:tcPr>
          <w:p>
            <w:pPr>
              <w:ind w:left="80"/>
              <w:spacing w:after="0" w:line="285" w:lineRule="exact"/>
              <w:rPr>
                <w:sz w:val="20"/>
                <w:szCs w:val="20"/>
                <w:color w:val="auto"/>
              </w:rPr>
            </w:pPr>
            <w:r>
              <w:rPr>
                <w:rFonts w:ascii="Arial" w:cs="Arial" w:eastAsia="Arial" w:hAnsi="Arial"/>
                <w:sz w:val="18"/>
                <w:szCs w:val="18"/>
                <w:b w:val="1"/>
                <w:bCs w:val="1"/>
                <w:color w:val="auto"/>
              </w:rPr>
              <w:t>Benefits</w:t>
            </w:r>
            <w:r>
              <w:rPr>
                <w:rFonts w:ascii="Arial" w:cs="Arial" w:eastAsia="Arial" w:hAnsi="Arial"/>
                <w:sz w:val="29"/>
                <w:szCs w:val="29"/>
                <w:b w:val="1"/>
                <w:bCs w:val="1"/>
                <w:color w:val="auto"/>
                <w:vertAlign w:val="superscript"/>
              </w:rPr>
              <w:t>(3)</w:t>
            </w:r>
          </w:p>
        </w:tc>
        <w:tc>
          <w:tcPr>
            <w:tcW w:w="200" w:type="dxa"/>
            <w:vAlign w:val="bottom"/>
          </w:tcPr>
          <w:p>
            <w:pPr>
              <w:spacing w:after="0"/>
              <w:rPr>
                <w:sz w:val="24"/>
                <w:szCs w:val="24"/>
                <w:color w:val="auto"/>
              </w:rPr>
            </w:pPr>
          </w:p>
        </w:tc>
        <w:tc>
          <w:tcPr>
            <w:tcW w:w="1140" w:type="dxa"/>
            <w:vAlign w:val="bottom"/>
          </w:tcPr>
          <w:p>
            <w:pPr>
              <w:jc w:val="right"/>
              <w:ind w:right="132"/>
              <w:spacing w:after="0" w:line="285" w:lineRule="exact"/>
              <w:rPr>
                <w:sz w:val="20"/>
                <w:szCs w:val="20"/>
                <w:color w:val="auto"/>
              </w:rPr>
            </w:pPr>
            <w:r>
              <w:rPr>
                <w:rFonts w:ascii="Arial" w:cs="Arial" w:eastAsia="Arial" w:hAnsi="Arial"/>
                <w:sz w:val="18"/>
                <w:szCs w:val="18"/>
                <w:b w:val="1"/>
                <w:bCs w:val="1"/>
                <w:color w:val="auto"/>
                <w:w w:val="92"/>
              </w:rPr>
              <w:t>Services</w:t>
            </w:r>
            <w:r>
              <w:rPr>
                <w:rFonts w:ascii="Arial" w:cs="Arial" w:eastAsia="Arial" w:hAnsi="Arial"/>
                <w:sz w:val="29"/>
                <w:szCs w:val="29"/>
                <w:b w:val="1"/>
                <w:bCs w:val="1"/>
                <w:color w:val="auto"/>
                <w:w w:val="92"/>
                <w:vertAlign w:val="superscript"/>
              </w:rPr>
              <w:t>(4)</w:t>
            </w:r>
          </w:p>
        </w:tc>
        <w:tc>
          <w:tcPr>
            <w:tcW w:w="1260" w:type="dxa"/>
            <w:vAlign w:val="bottom"/>
            <w:gridSpan w:val="2"/>
          </w:tcPr>
          <w:p>
            <w:pPr>
              <w:jc w:val="center"/>
              <w:spacing w:after="0" w:line="285" w:lineRule="exact"/>
              <w:rPr>
                <w:sz w:val="20"/>
                <w:szCs w:val="20"/>
                <w:color w:val="auto"/>
              </w:rPr>
            </w:pPr>
            <w:r>
              <w:rPr>
                <w:rFonts w:ascii="Arial" w:cs="Arial" w:eastAsia="Arial" w:hAnsi="Arial"/>
                <w:sz w:val="18"/>
                <w:szCs w:val="18"/>
                <w:b w:val="1"/>
                <w:bCs w:val="1"/>
                <w:color w:val="auto"/>
                <w:w w:val="91"/>
              </w:rPr>
              <w:t>Payment</w:t>
            </w:r>
            <w:r>
              <w:rPr>
                <w:rFonts w:ascii="Arial" w:cs="Arial" w:eastAsia="Arial" w:hAnsi="Arial"/>
                <w:sz w:val="29"/>
                <w:szCs w:val="29"/>
                <w:b w:val="1"/>
                <w:bCs w:val="1"/>
                <w:color w:val="auto"/>
                <w:w w:val="91"/>
                <w:vertAlign w:val="superscript"/>
              </w:rPr>
              <w:t>(5)</w:t>
            </w:r>
          </w:p>
        </w:tc>
        <w:tc>
          <w:tcPr>
            <w:tcW w:w="28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96"/>
        </w:trPr>
        <w:tc>
          <w:tcPr>
            <w:tcW w:w="1160" w:type="dxa"/>
            <w:vAlign w:val="bottom"/>
          </w:tcPr>
          <w:p>
            <w:pPr>
              <w:spacing w:after="0"/>
              <w:rPr>
                <w:sz w:val="17"/>
                <w:szCs w:val="17"/>
                <w:color w:val="auto"/>
              </w:rPr>
            </w:pPr>
          </w:p>
        </w:tc>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Michael J. Hoffman</w:t>
            </w:r>
          </w:p>
        </w:tc>
        <w:tc>
          <w:tcPr>
            <w:tcW w:w="1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3,938,025</w:t>
            </w:r>
          </w:p>
        </w:tc>
        <w:tc>
          <w:tcPr>
            <w:tcW w:w="3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88,953</w:t>
            </w:r>
          </w:p>
        </w:tc>
        <w:tc>
          <w:tcPr>
            <w:tcW w:w="20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55,578</w:t>
            </w:r>
          </w:p>
        </w:tc>
        <w:tc>
          <w:tcPr>
            <w:tcW w:w="20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3,617,392</w:t>
            </w:r>
          </w:p>
        </w:tc>
        <w:tc>
          <w:tcPr>
            <w:tcW w:w="28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7,729,948</w:t>
            </w:r>
          </w:p>
        </w:tc>
        <w:tc>
          <w:tcPr>
            <w:tcW w:w="160" w:type="dxa"/>
            <w:vAlign w:val="bottom"/>
            <w:shd w:val="clear" w:color="auto" w:fill="CCEEFF"/>
          </w:tcPr>
          <w:p>
            <w:pPr>
              <w:spacing w:after="0"/>
              <w:rPr>
                <w:sz w:val="17"/>
                <w:szCs w:val="17"/>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Stephen P. Wolfe</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1,750,476</w:t>
            </w: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88,953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45,621</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1,915,050</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M. Ramstad</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1,247,289</w:t>
            </w: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88,953</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49,779</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928,077</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2,344,098</w:t>
            </w:r>
          </w:p>
        </w:tc>
        <w:tc>
          <w:tcPr>
            <w:tcW w:w="160" w:type="dxa"/>
            <w:vAlign w:val="bottom"/>
            <w:shd w:val="clear" w:color="auto" w:fill="CCEEFF"/>
          </w:tcPr>
          <w:p>
            <w:pPr>
              <w:spacing w:after="0"/>
              <w:rPr>
                <w:sz w:val="17"/>
                <w:szCs w:val="17"/>
                <w:color w:val="auto"/>
              </w:rPr>
            </w:pPr>
          </w:p>
        </w:tc>
      </w:tr>
      <w:tr>
        <w:trPr>
          <w:trHeight w:val="203"/>
        </w:trPr>
        <w:tc>
          <w:tcPr>
            <w:tcW w:w="300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Timothy P. Dordell</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1,104,837</w:t>
            </w:r>
          </w:p>
        </w:tc>
        <w:tc>
          <w:tcPr>
            <w:tcW w:w="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88,953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17,586</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936,346</w:t>
            </w:r>
          </w:p>
        </w:tc>
        <w:tc>
          <w:tcPr>
            <w:tcW w:w="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2,177,722</w:t>
            </w:r>
          </w:p>
        </w:tc>
        <w:tc>
          <w:tcPr>
            <w:tcW w:w="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William E. Brown, Jr.</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1,037,022</w:t>
            </w:r>
          </w:p>
        </w:tc>
        <w:tc>
          <w:tcPr>
            <w:tcW w:w="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88,953</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49,041</w:t>
            </w:r>
          </w:p>
        </w:tc>
        <w:tc>
          <w:tcPr>
            <w:tcW w:w="2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1,205,016</w:t>
            </w:r>
          </w:p>
        </w:tc>
        <w:tc>
          <w:tcPr>
            <w:tcW w:w="160" w:type="dxa"/>
            <w:vAlign w:val="bottom"/>
            <w:shd w:val="clear" w:color="auto" w:fill="CCEEFF"/>
          </w:tcPr>
          <w:p>
            <w:pPr>
              <w:spacing w:after="0"/>
              <w:rPr>
                <w:sz w:val="17"/>
                <w:szCs w:val="17"/>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9" w:lineRule="exact"/>
        <w:rPr>
          <w:sz w:val="20"/>
          <w:szCs w:val="20"/>
          <w:color w:val="auto"/>
        </w:rPr>
      </w:pPr>
    </w:p>
    <w:p>
      <w:pPr>
        <w:ind w:left="540" w:hanging="532"/>
        <w:spacing w:after="0" w:line="23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represents three times the sum of the executive's: (a) then current annual base salary, which equals 12 times the highest monthly base salary paid to the executive during the fiscal year ended October 31, 2009, and (b) the higher of the (i) most recent fiscal year annual bonus paid to the executive, or (ii) the highest annual bonus paid to the executive during the last three fiscal years, in each case, including any amounts deferred by the executive.</w:t>
      </w:r>
    </w:p>
    <w:p>
      <w:pPr>
        <w:spacing w:after="0" w:line="208" w:lineRule="exact"/>
        <w:rPr>
          <w:rFonts w:ascii="Arial" w:cs="Arial" w:eastAsia="Arial" w:hAnsi="Arial"/>
          <w:sz w:val="18"/>
          <w:szCs w:val="18"/>
          <w:color w:val="auto"/>
        </w:rPr>
      </w:pPr>
    </w:p>
    <w:p>
      <w:pPr>
        <w:ind w:left="540" w:right="60" w:hanging="532"/>
        <w:spacing w:after="0" w:line="23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represents the lump sum value of additional retirement plan benefits equal to: (a) the value of the benefit under the plans assuming the benefit is fully vested and the executive had three additional years of service, less (b) the value of the vested benefit accrued under the retirement plans.</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based on our premium levels in effect on October 31, 2009.</w:t>
      </w:r>
    </w:p>
    <w:p>
      <w:pPr>
        <w:spacing w:after="0" w:line="198" w:lineRule="exact"/>
        <w:rPr>
          <w:rFonts w:ascii="Arial" w:cs="Arial" w:eastAsia="Arial" w:hAnsi="Arial"/>
          <w:sz w:val="18"/>
          <w:szCs w:val="18"/>
          <w:color w:val="auto"/>
        </w:rPr>
      </w:pPr>
    </w:p>
    <w:p>
      <w:pPr>
        <w:ind w:left="540" w:right="420" w:hanging="532"/>
        <w:spacing w:after="0" w:line="239"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is based on the assumption that we would incur a $30,000 one-time cost for outplacement services to be provided for the three-year period.</w:t>
      </w:r>
    </w:p>
    <w:p>
      <w:pPr>
        <w:spacing w:after="0" w:line="208" w:lineRule="exact"/>
        <w:rPr>
          <w:rFonts w:ascii="Arial" w:cs="Arial" w:eastAsia="Arial" w:hAnsi="Arial"/>
          <w:sz w:val="18"/>
          <w:szCs w:val="18"/>
          <w:color w:val="auto"/>
        </w:rPr>
      </w:pPr>
    </w:p>
    <w:p>
      <w:pPr>
        <w:ind w:left="540" w:right="160" w:hanging="532"/>
        <w:spacing w:after="0" w:line="239"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gross-up payment to cover excise taxes under Section 4999 of the Code for parachute payments under Section 280G of the Code.</w:t>
      </w:r>
    </w:p>
    <w:p>
      <w:pPr>
        <w:spacing w:after="0" w:line="187" w:lineRule="exact"/>
        <w:rPr>
          <w:sz w:val="20"/>
          <w:szCs w:val="20"/>
          <w:color w:val="auto"/>
        </w:rPr>
      </w:pPr>
    </w:p>
    <w:p>
      <w:pPr>
        <w:ind w:right="20" w:firstLine="391"/>
        <w:spacing w:after="0" w:line="238"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stock option plans and the related agreements with our named executive officers contain a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which provides that if, within one year after the termination of employment of any of our named executive officers, the executive is employed or retained by or renders services to a competitor, violates any confidentiality or agreement governing the ownership or assignment of intellectual property rights or engages in any other conduct or act determined to be injurious, detrimental or prejudicial to any interest of the Company, we have the right to cancel, rescind or restrict all stock options held by such individual and demand the return of the economic value of any stock option which was realized or obtained by such individual during the period beginning on the date that is 12 months prior to the date of termination to the date of the last exercise. The PSP and the related agreements with our named executive officers contain a similar "clawback" provision applicable to any shares of our common stock that the Compensation &amp; Human Resources Committee determines will be paid out under performance share awards after the termination of an executive's employment with us.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TWO—APPROVAL OF</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2010 EQUITY AND INCENTIVE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New 2010 Equity and Incentive Plan</w:t>
      </w:r>
    </w:p>
    <w:p>
      <w:pPr>
        <w:spacing w:after="0" w:line="234" w:lineRule="exact"/>
        <w:rPr>
          <w:sz w:val="20"/>
          <w:szCs w:val="20"/>
          <w:color w:val="auto"/>
        </w:rPr>
      </w:pPr>
    </w:p>
    <w:p>
      <w:pPr>
        <w:ind w:right="20" w:firstLine="387"/>
        <w:spacing w:after="0" w:line="235" w:lineRule="auto"/>
        <w:rPr>
          <w:sz w:val="20"/>
          <w:szCs w:val="20"/>
          <w:color w:val="auto"/>
        </w:rPr>
      </w:pPr>
      <w:r>
        <w:rPr>
          <w:rFonts w:ascii="Arial" w:cs="Arial" w:eastAsia="Arial" w:hAnsi="Arial"/>
          <w:sz w:val="18"/>
          <w:szCs w:val="18"/>
          <w:color w:val="auto"/>
        </w:rPr>
        <w:t>The Board has approved, upon recommendation of the Compensation &amp; Human Resources Committee, The Toro Company 2010 Equity and Incentive Plan, or 2010 Plan, subject to approval by our shareholders at the 2010 Annual Meeting. The 2010 Plan provides for the grant of nonqualified and incentive stock options, stock appreciation rights or SARs, restricted stock, restricted stock units, performance shares, performance units, annual performance awards, non-employee director awards and other cash-based and stock-based awards. The Board and the Compensation &amp; Human Resources Committee believe the 2010 Plan provides a means (a) whereby our employees, directors and third-party service providers develop a sense of proprietorship and personal involvement in the development and financial success of our Company, encouraging them to devote their best efforts to the business of our Company, and thereby advancing the interests of our Company and our shareholders; and (b) to attract able individuals to become employees or serve as directors or third-party service providers, and whereby such individuals can acquire and maintain stock ownership, thereby strengthening their concern for the welfare of our Company.</w:t>
      </w:r>
    </w:p>
    <w:p>
      <w:pPr>
        <w:spacing w:after="0" w:line="215" w:lineRule="exact"/>
        <w:rPr>
          <w:sz w:val="20"/>
          <w:szCs w:val="20"/>
          <w:color w:val="auto"/>
        </w:rPr>
      </w:pPr>
    </w:p>
    <w:p>
      <w:pPr>
        <w:ind w:firstLine="391"/>
        <w:spacing w:after="0" w:line="235" w:lineRule="auto"/>
        <w:rPr>
          <w:sz w:val="20"/>
          <w:szCs w:val="20"/>
          <w:color w:val="auto"/>
        </w:rPr>
      </w:pPr>
      <w:r>
        <w:rPr>
          <w:rFonts w:ascii="Arial" w:cs="Arial" w:eastAsia="Arial" w:hAnsi="Arial"/>
          <w:sz w:val="18"/>
          <w:szCs w:val="18"/>
          <w:color w:val="auto"/>
        </w:rPr>
        <w:t>If the 2010 Plan is approved by our shareholders, it will replace our three existing equity compensation plans under which stock-based awards currently are granted, namely The Toro Company 2000 Stock Option Plan, The Toro Company 2000 Directors Stock Plan, and The Toro Company Performance Share Plan, and our existing annual cash incentive plan under which annual cash awards are granted to our executive officers and certain other key employees, namely The Toro Company Annual Management Incentive Plan II, which plans we collectively refer to as the Prior Plans. If the 2010 Plan is approved by our shareholders, no new awards will be granted under the Prior Plans and any shares of our common stock available for issuance under the Prior Plans that are not subject to outstanding awards will no longer be available for issuance under the Prior Plans or the 2010 Plan. Outstanding awards under the Prior Plans will continue to be governed by the terms of the Prior Plans, as applicable, until exercised, expired, paid or otherwise terminated or canceled. Subject to adjustment, the maximum number of shares of our common stock authorized for issuance under the 2010 Plan is 2,750,000 shares, plus the number of shares subject to awards outstanding under the Prior Plans as of the date of shareholder approval of the 2010 Plan but only to the extent that such outstanding awards are forfeited, expire or otherwise terminate without the issuance of such shares.</w:t>
      </w:r>
    </w:p>
    <w:p>
      <w:pPr>
        <w:spacing w:after="0" w:line="215" w:lineRule="exact"/>
        <w:rPr>
          <w:sz w:val="20"/>
          <w:szCs w:val="20"/>
          <w:color w:val="auto"/>
        </w:rPr>
      </w:pPr>
    </w:p>
    <w:p>
      <w:pPr>
        <w:ind w:right="40" w:firstLine="391"/>
        <w:spacing w:after="0" w:line="236" w:lineRule="auto"/>
        <w:rPr>
          <w:sz w:val="20"/>
          <w:szCs w:val="20"/>
          <w:color w:val="auto"/>
        </w:rPr>
      </w:pPr>
      <w:r>
        <w:rPr>
          <w:rFonts w:ascii="Arial" w:cs="Arial" w:eastAsia="Arial" w:hAnsi="Arial"/>
          <w:sz w:val="18"/>
          <w:szCs w:val="18"/>
          <w:color w:val="auto"/>
        </w:rPr>
        <w:t>Our shareholders are being asked to approve the 2010 Plan in order to satisfy rules and regulations of the NYSE relating to equity compensation, to qualify compensation under the 2010 Plan as performance-based for purposes of Section 162(m) of the Code, and to qualify stock options for treatment as incentive stock options for purposes of Section 422 of the Code in the event the Compensation &amp; Human Resources Committee decides to grant incentive stock options in the future. If our shareholders do not approve the 2010 Plan, the Prior Plans will remain in effect until they terminate in accordance with their respective terms.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Board of Directors unanimously recommends a vote FOR the approval of the 2010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Why You Should Vote in Favor of the Approval of the 2010 Plan</w:t>
      </w:r>
    </w:p>
    <w:p>
      <w:pPr>
        <w:spacing w:after="0" w:line="234" w:lineRule="exact"/>
        <w:rPr>
          <w:sz w:val="20"/>
          <w:szCs w:val="20"/>
          <w:color w:val="auto"/>
        </w:rPr>
      </w:pPr>
    </w:p>
    <w:p>
      <w:pPr>
        <w:ind w:right="80" w:firstLine="387"/>
        <w:spacing w:after="0" w:line="239" w:lineRule="auto"/>
        <w:rPr>
          <w:sz w:val="20"/>
          <w:szCs w:val="20"/>
          <w:color w:val="auto"/>
        </w:rPr>
      </w:pPr>
      <w:r>
        <w:rPr>
          <w:rFonts w:ascii="Arial" w:cs="Arial" w:eastAsia="Arial" w:hAnsi="Arial"/>
          <w:sz w:val="18"/>
          <w:szCs w:val="18"/>
          <w:color w:val="auto"/>
        </w:rPr>
        <w:t>The Board recommends a vote for the approval of the 2010 Plan because the Board believes the plan is in the best interests of our Company and our shareholders for the following reasons:</w:t>
      </w:r>
    </w:p>
    <w:p>
      <w:pPr>
        <w:spacing w:after="0" w:line="187" w:lineRule="exact"/>
        <w:rPr>
          <w:sz w:val="20"/>
          <w:szCs w:val="20"/>
          <w:color w:val="auto"/>
        </w:rPr>
      </w:pPr>
    </w:p>
    <w:p>
      <w:pPr>
        <w:ind w:left="1080" w:right="240" w:hanging="532"/>
        <w:spacing w:after="0" w:line="27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Aligns director, employee and shareholder interests. </w:t>
      </w:r>
      <w:r>
        <w:rPr>
          <w:rFonts w:ascii="Arial" w:cs="Arial" w:eastAsia="Arial" w:hAnsi="Arial"/>
          <w:sz w:val="16"/>
          <w:szCs w:val="16"/>
          <w:color w:val="auto"/>
        </w:rPr>
        <w:t>We currently provide long-term incentives primarily in the form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awards and stock option grants to our non-employee directors and stock option grants and performance share awards, which are paid out in shares of our common stock, as well as annual cash incentives, to certain key employees. We believe that our stock-based compensation programs, along with our stock ownership guidelines for our non-employee directors and executives, and our annual cash incentive programs for employees help align the interests of our non-employee directors, our employees and our shareholders. We believe that our long-term stock-based incentives help promote long-term retention of our employees and encourage significant ownership of our common stock. We believe our annual cash incentives reinforce achievement of Company financial business goals by linking a significant portion of a participant's compensation to the achievement by the Company, and in certain cases, a division or individual, of performance goals. If the 2010 Plan is approved, we will be able to maintain our means of aligning the interests of our non-employee directors and employees with the interests of our shareholders.</w:t>
      </w:r>
    </w:p>
    <w:p>
      <w:pPr>
        <w:spacing w:after="0" w:line="164" w:lineRule="exact"/>
        <w:rPr>
          <w:rFonts w:ascii="Arial" w:cs="Arial" w:eastAsia="Arial" w:hAnsi="Arial"/>
          <w:sz w:val="16"/>
          <w:szCs w:val="16"/>
          <w:color w:val="auto"/>
        </w:rPr>
      </w:pPr>
    </w:p>
    <w:p>
      <w:pPr>
        <w:ind w:left="1080" w:hanging="532"/>
        <w:spacing w:after="0" w:line="24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Attracts and retains talent. </w:t>
      </w:r>
      <w:r>
        <w:rPr>
          <w:rFonts w:ascii="Arial" w:cs="Arial" w:eastAsia="Arial" w:hAnsi="Arial"/>
          <w:sz w:val="18"/>
          <w:szCs w:val="18"/>
          <w:color w:val="auto"/>
        </w:rPr>
        <w:t>Talented, motivated and effective executives and employees are essential to executing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strategies. Stock-based and annual cash incentive compensation has been an important component of total compensation at the Company for many years because such compensation enables us to effectively recruit executives and other employees while encouraging them to act and think like owners of the Company. If the 2010 Plan is approved, we believe we will maintain our ability to offer competitive compensation packages to both retain our best performers and attract new talent.</w:t>
      </w:r>
    </w:p>
    <w:p>
      <w:pPr>
        <w:spacing w:after="0" w:line="171" w:lineRule="exact"/>
        <w:rPr>
          <w:rFonts w:ascii="Arial" w:cs="Arial" w:eastAsia="Arial" w:hAnsi="Arial"/>
          <w:sz w:val="18"/>
          <w:szCs w:val="18"/>
          <w:color w:val="auto"/>
        </w:rPr>
      </w:pPr>
    </w:p>
    <w:p>
      <w:pPr>
        <w:ind w:left="1080" w:right="140" w:hanging="532"/>
        <w:spacing w:after="0" w:line="24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Supports our pay-for-performance philosophy. </w:t>
      </w:r>
      <w:r>
        <w:rPr>
          <w:rFonts w:ascii="Arial" w:cs="Arial" w:eastAsia="Arial" w:hAnsi="Arial"/>
          <w:sz w:val="18"/>
          <w:szCs w:val="18"/>
          <w:color w:val="auto"/>
        </w:rPr>
        <w:t>We believe that stock-based compensation, by its very nature, is performance-based compensation. The largest component of total compensation for our executives is incentive compensation in the form of both stock-based and cash-based incentives that are tied to the achievement of financial business results. We use incentive compensation to help reinforce desired financial business results to our executives and to motivate them to make decisions to produce those results.</w:t>
      </w:r>
    </w:p>
    <w:p>
      <w:pPr>
        <w:spacing w:after="0" w:line="171" w:lineRule="exact"/>
        <w:rPr>
          <w:rFonts w:ascii="Arial" w:cs="Arial" w:eastAsia="Arial" w:hAnsi="Arial"/>
          <w:sz w:val="18"/>
          <w:szCs w:val="18"/>
          <w:color w:val="auto"/>
        </w:rPr>
      </w:pPr>
    </w:p>
    <w:p>
      <w:pPr>
        <w:ind w:left="1080" w:right="340" w:hanging="532"/>
        <w:spacing w:after="0" w:line="244"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Avoids disruption in our compensation programs. </w:t>
      </w:r>
      <w:r>
        <w:rPr>
          <w:rFonts w:ascii="Arial" w:cs="Arial" w:eastAsia="Arial" w:hAnsi="Arial"/>
          <w:sz w:val="18"/>
          <w:szCs w:val="18"/>
          <w:color w:val="auto"/>
        </w:rPr>
        <w:t>The approval of the 2010 Plan by our shareholders is critical because our</w:t>
      </w:r>
      <w:r>
        <w:rPr>
          <w:rFonts w:ascii="Arial" w:cs="Arial" w:eastAsia="Arial" w:hAnsi="Arial"/>
          <w:sz w:val="18"/>
          <w:szCs w:val="18"/>
          <w:b w:val="1"/>
          <w:bCs w:val="1"/>
          <w:color w:val="auto"/>
        </w:rPr>
        <w:t xml:space="preserve"> </w:t>
      </w:r>
      <w:r>
        <w:rPr>
          <w:rFonts w:ascii="Arial" w:cs="Arial" w:eastAsia="Arial" w:hAnsi="Arial"/>
          <w:sz w:val="18"/>
          <w:szCs w:val="18"/>
          <w:color w:val="auto"/>
        </w:rPr>
        <w:t>2000 Stock Option Plan and 2000 Directors Stock Plan are 10 year plans that will expire by their terms in March 2010 and March 2011, respectively, and we believe it is good practice to consolidate our existing equity compensation plans, our existing performance-based equity plan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line="236" w:lineRule="auto"/>
        <w:rPr>
          <w:sz w:val="20"/>
          <w:szCs w:val="20"/>
          <w:color w:val="auto"/>
        </w:rPr>
      </w:pPr>
      <w:r>
        <w:rPr>
          <w:rFonts w:ascii="Arial" w:cs="Arial" w:eastAsia="Arial" w:hAnsi="Arial"/>
          <w:sz w:val="18"/>
          <w:szCs w:val="18"/>
          <w:color w:val="auto"/>
        </w:rPr>
        <w:t>our cash compensation plan into one plan. If the 2010 Plan is approved, we will not have to restructure our existing compensation programs for reasons that are not directly related to the achievement of our financial business objectives. To remain competitive without stock-based compensation arrangements, it likely will be necessary to replace components of compensation previously awarded in equity with cash or with other instruments that may not necessarily align director and employee interests with those of our shareholders as well as stock-based awards do. Additionally, replacing equity with cash will increase cash compensation expense and use cash that would be better utilized toward other strategic purposes, such as strategic acquisitions, research and development of innovative new products, and improvements in the quality and performance of existing products.</w:t>
      </w:r>
    </w:p>
    <w:p>
      <w:pPr>
        <w:spacing w:after="0" w:line="187" w:lineRule="exact"/>
        <w:rPr>
          <w:sz w:val="20"/>
          <w:szCs w:val="20"/>
          <w:color w:val="auto"/>
        </w:rPr>
      </w:pPr>
    </w:p>
    <w:p>
      <w:pPr>
        <w:ind w:left="1080" w:right="100" w:hanging="532"/>
        <w:spacing w:after="0" w:line="24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Protects shareholder interests and embraces sound stock-based compensation practices. </w:t>
      </w:r>
      <w:r>
        <w:rPr>
          <w:rFonts w:ascii="Arial" w:cs="Arial" w:eastAsia="Arial" w:hAnsi="Arial"/>
          <w:sz w:val="18"/>
          <w:szCs w:val="18"/>
          <w:color w:val="auto"/>
        </w:rPr>
        <w:t>As described in more detail below</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heading "Summary of Sound Governance Features of the 2010 Plan," the 2010 Plan includes a number of features that are consistent with the interests of our shareholders and sound corporate governance practices.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Sound Governance Features of the 2010 Plan</w:t>
      </w:r>
    </w:p>
    <w:p>
      <w:pPr>
        <w:spacing w:after="0" w:line="234" w:lineRule="exact"/>
        <w:rPr>
          <w:sz w:val="20"/>
          <w:szCs w:val="20"/>
          <w:color w:val="auto"/>
        </w:rPr>
      </w:pPr>
    </w:p>
    <w:p>
      <w:pPr>
        <w:ind w:right="200" w:firstLine="387"/>
        <w:spacing w:after="0" w:line="239" w:lineRule="auto"/>
        <w:rPr>
          <w:sz w:val="20"/>
          <w:szCs w:val="20"/>
          <w:color w:val="auto"/>
        </w:rPr>
      </w:pPr>
      <w:r>
        <w:rPr>
          <w:rFonts w:ascii="Arial" w:cs="Arial" w:eastAsia="Arial" w:hAnsi="Arial"/>
          <w:sz w:val="18"/>
          <w:szCs w:val="18"/>
          <w:color w:val="auto"/>
        </w:rPr>
        <w:t>The Board and Compensation &amp; Human Resources Committee believe that the 2010 Plan contains several features that are consistent with the interests of our shareholders and sound corporate governance practices, including the following:</w:t>
      </w:r>
    </w:p>
    <w:p>
      <w:pPr>
        <w:spacing w:after="0" w:line="201" w:lineRule="exact"/>
        <w:rPr>
          <w:sz w:val="20"/>
          <w:szCs w:val="20"/>
          <w:color w:val="auto"/>
        </w:rPr>
      </w:pPr>
    </w:p>
    <w:p>
      <w:pPr>
        <w:ind w:left="1080" w:right="40" w:hanging="532"/>
        <w:spacing w:after="0" w:line="24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No "evergreen" provision. </w:t>
      </w:r>
      <w:r>
        <w:rPr>
          <w:rFonts w:ascii="Arial" w:cs="Arial" w:eastAsia="Arial" w:hAnsi="Arial"/>
          <w:sz w:val="18"/>
          <w:szCs w:val="18"/>
          <w:color w:val="auto"/>
        </w:rPr>
        <w:t>The number of shares of our common stock available for issuance under the 2010 Plan is fixed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adjust based upon the number of outstanding shares of our common stock. We currently expect the number of shares authorized for issuance under the 2010 Plan will last approximately three years, at which time we expect to ask our shareholders to approve an additional share authorization.</w:t>
      </w:r>
    </w:p>
    <w:p>
      <w:pPr>
        <w:spacing w:after="0" w:line="171" w:lineRule="exact"/>
        <w:rPr>
          <w:rFonts w:ascii="Arial" w:cs="Arial" w:eastAsia="Arial" w:hAnsi="Arial"/>
          <w:sz w:val="18"/>
          <w:szCs w:val="18"/>
          <w:color w:val="auto"/>
        </w:rPr>
      </w:pPr>
    </w:p>
    <w:p>
      <w:pPr>
        <w:ind w:left="1080" w:right="20" w:hanging="532"/>
        <w:spacing w:after="0" w:line="23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Will not be excessively dilutive to our shareholders. </w:t>
      </w:r>
      <w:r>
        <w:rPr>
          <w:rFonts w:ascii="Arial" w:cs="Arial" w:eastAsia="Arial" w:hAnsi="Arial"/>
          <w:sz w:val="18"/>
          <w:szCs w:val="18"/>
          <w:color w:val="auto"/>
        </w:rPr>
        <w:t>Subject to adjustment, the maximum number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authorized for issuance under the 2010 Plan is 2,750,000 shares, plus the number of shares subject to awards outstanding under the Prior Plans as of the date of shareholder approval of the 2010 Plan but only to the extent that such outstanding awards are forfeited, expire or otherwise terminate without the issuance of such shares. If the 2010 Plan is approved by shareholders, no new awards will be granted under the Prior Plans and any shares of our common stock available for issuance under the Prior Plans that are not subject to outstanding awards will no longer be available for issuance under the Prior Plans or the 2010 Plan. No new awards were granted under the Prior Plans between January 20, 2010, the record date, and February 2, 2010, the date of this proxy statement, and we do not expect that any new awards will be granted under the Prior Plans between February 2, 2010, and the date of the 2010 Annual Meeting.</w:t>
      </w:r>
    </w:p>
    <w:p>
      <w:pPr>
        <w:spacing w:after="0" w:line="178" w:lineRule="exact"/>
        <w:rPr>
          <w:rFonts w:ascii="Arial" w:cs="Arial" w:eastAsia="Arial" w:hAnsi="Arial"/>
          <w:sz w:val="18"/>
          <w:szCs w:val="18"/>
          <w:color w:val="auto"/>
        </w:rPr>
      </w:pPr>
    </w:p>
    <w:p>
      <w:pPr>
        <w:ind w:left="1080" w:right="80" w:hanging="532"/>
        <w:spacing w:after="0" w:line="24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Limit on number of full value awards. </w:t>
      </w:r>
      <w:r>
        <w:rPr>
          <w:rFonts w:ascii="Arial" w:cs="Arial" w:eastAsia="Arial" w:hAnsi="Arial"/>
          <w:sz w:val="18"/>
          <w:szCs w:val="18"/>
          <w:color w:val="auto"/>
        </w:rPr>
        <w:t>No more than 825,000 of the shares authorized for issuance under the 2010 Plan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pursuant to "full value" awards, which are awards other than stock options or SARs that are settled by the issuance of shares of our common stock.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1080" w:right="80" w:hanging="532"/>
        <w:spacing w:after="0" w:line="24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No "recycling" of shares from exercised stock options or SARs. </w:t>
      </w:r>
      <w:r>
        <w:rPr>
          <w:rFonts w:ascii="Arial" w:cs="Arial" w:eastAsia="Arial" w:hAnsi="Arial"/>
          <w:sz w:val="18"/>
          <w:szCs w:val="18"/>
          <w:color w:val="auto"/>
        </w:rPr>
        <w:t>Shares withheld to satisfy tax withholding obligations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awards or to pay the exercise price of awards and any shares not issued or delivered as a result of a "net exercise" of a stock option will not become available for issuance as future award grants under the 2010 Plan.</w:t>
      </w:r>
    </w:p>
    <w:p>
      <w:pPr>
        <w:spacing w:after="0" w:line="17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No reload stock options or SARs. </w:t>
      </w:r>
      <w:r>
        <w:rPr>
          <w:rFonts w:ascii="Arial" w:cs="Arial" w:eastAsia="Arial" w:hAnsi="Arial"/>
          <w:sz w:val="18"/>
          <w:szCs w:val="18"/>
          <w:color w:val="auto"/>
        </w:rPr>
        <w:t>Reload stock options and SARs are not authorized under the 2010 Plan.</w:t>
      </w:r>
    </w:p>
    <w:p>
      <w:pPr>
        <w:spacing w:after="0" w:line="198" w:lineRule="exact"/>
        <w:rPr>
          <w:rFonts w:ascii="Arial" w:cs="Arial" w:eastAsia="Arial" w:hAnsi="Arial"/>
          <w:sz w:val="18"/>
          <w:szCs w:val="18"/>
          <w:color w:val="auto"/>
        </w:rPr>
      </w:pPr>
    </w:p>
    <w:p>
      <w:pPr>
        <w:ind w:left="1080" w:right="160" w:hanging="532"/>
        <w:spacing w:after="0" w:line="244"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exercise prices and SAR grant prices will not be lower than the fair market value on the grant date. </w:t>
      </w:r>
      <w:r>
        <w:rPr>
          <w:rFonts w:ascii="Arial" w:cs="Arial" w:eastAsia="Arial" w:hAnsi="Arial"/>
          <w:sz w:val="18"/>
          <w:szCs w:val="18"/>
          <w:color w:val="auto"/>
        </w:rPr>
        <w:t>The 2010</w:t>
      </w:r>
      <w:r>
        <w:rPr>
          <w:rFonts w:ascii="Arial" w:cs="Arial" w:eastAsia="Arial" w:hAnsi="Arial"/>
          <w:sz w:val="18"/>
          <w:szCs w:val="18"/>
          <w:b w:val="1"/>
          <w:bCs w:val="1"/>
          <w:color w:val="auto"/>
        </w:rPr>
        <w:t xml:space="preserve"> </w:t>
      </w:r>
      <w:r>
        <w:rPr>
          <w:rFonts w:ascii="Arial" w:cs="Arial" w:eastAsia="Arial" w:hAnsi="Arial"/>
          <w:sz w:val="18"/>
          <w:szCs w:val="18"/>
          <w:color w:val="auto"/>
        </w:rPr>
        <w:t>Plan prohibits granting stock options with exercise prices and SARs with grant prices lower than the fair market value of a share of our common stock on the grant date, except in connection with the issuance or assumption of awards in connection with certain mergers, consolidations, acquisitions of property or stock or reorganizations.</w:t>
      </w:r>
    </w:p>
    <w:p>
      <w:pPr>
        <w:spacing w:after="0" w:line="171" w:lineRule="exact"/>
        <w:rPr>
          <w:rFonts w:ascii="Arial" w:cs="Arial" w:eastAsia="Arial" w:hAnsi="Arial"/>
          <w:sz w:val="18"/>
          <w:szCs w:val="18"/>
          <w:color w:val="auto"/>
        </w:rPr>
      </w:pPr>
    </w:p>
    <w:p>
      <w:pPr>
        <w:ind w:left="1080" w:right="160" w:hanging="532"/>
        <w:spacing w:after="0" w:line="242"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No repricing or exchange without shareholder approval. </w:t>
      </w:r>
      <w:r>
        <w:rPr>
          <w:rFonts w:ascii="Arial" w:cs="Arial" w:eastAsia="Arial" w:hAnsi="Arial"/>
          <w:sz w:val="18"/>
          <w:szCs w:val="18"/>
          <w:color w:val="auto"/>
        </w:rPr>
        <w:t>The 2010 Plan prohibits the repricing of outstanding stock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without shareholder approval, except in connection with certain corporate transactions involving the Company. Repricing is defined broadly to include amendments or modifications to the terms of an outstanding stock option or SAR to lower the exercise or grant price or cancelling an outstanding stock option or SAR in exchange for cash, other awards or other stock options or SARs having a lower exercise price.</w:t>
      </w:r>
    </w:p>
    <w:p>
      <w:pPr>
        <w:spacing w:after="0" w:line="185" w:lineRule="exact"/>
        <w:rPr>
          <w:rFonts w:ascii="Arial" w:cs="Arial" w:eastAsia="Arial" w:hAnsi="Arial"/>
          <w:sz w:val="18"/>
          <w:szCs w:val="18"/>
          <w:color w:val="auto"/>
        </w:rPr>
      </w:pPr>
    </w:p>
    <w:p>
      <w:pPr>
        <w:ind w:left="1080" w:hanging="532"/>
        <w:spacing w:after="0" w:line="244"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Stock options, SARs and unvested performance awards are not entitled to dividend equivalent rights. </w:t>
      </w:r>
      <w:r>
        <w:rPr>
          <w:rFonts w:ascii="Arial" w:cs="Arial" w:eastAsia="Arial" w:hAnsi="Arial"/>
          <w:sz w:val="18"/>
          <w:szCs w:val="18"/>
          <w:color w:val="auto"/>
        </w:rPr>
        <w:t>Stock option, SAR</w:t>
      </w:r>
      <w:r>
        <w:rPr>
          <w:rFonts w:ascii="Arial" w:cs="Arial" w:eastAsia="Arial" w:hAnsi="Arial"/>
          <w:sz w:val="18"/>
          <w:szCs w:val="18"/>
          <w:b w:val="1"/>
          <w:bCs w:val="1"/>
          <w:color w:val="auto"/>
        </w:rPr>
        <w:t xml:space="preserve"> </w:t>
      </w:r>
      <w:r>
        <w:rPr>
          <w:rFonts w:ascii="Arial" w:cs="Arial" w:eastAsia="Arial" w:hAnsi="Arial"/>
          <w:sz w:val="18"/>
          <w:szCs w:val="18"/>
          <w:color w:val="auto"/>
        </w:rPr>
        <w:t>and unvested performance award holders have no rights as shareholders with respect to the shares underlying their awards until their stock options, SARs or unvested performance awards are exercised or vested and shares are issued. As a result, stock options, SARs and unvested performance awards under the 2010 Plan have no dividend equivalent rights associated with them.</w:t>
      </w:r>
    </w:p>
    <w:p>
      <w:pPr>
        <w:spacing w:after="0" w:line="171" w:lineRule="exact"/>
        <w:rPr>
          <w:rFonts w:ascii="Arial" w:cs="Arial" w:eastAsia="Arial" w:hAnsi="Arial"/>
          <w:sz w:val="18"/>
          <w:szCs w:val="18"/>
          <w:color w:val="auto"/>
        </w:rPr>
      </w:pPr>
    </w:p>
    <w:p>
      <w:pPr>
        <w:ind w:left="1080" w:right="100" w:hanging="532"/>
        <w:spacing w:after="0" w:line="244"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Minimum vesting and performance period requirements. </w:t>
      </w:r>
      <w:r>
        <w:rPr>
          <w:rFonts w:ascii="Arial" w:cs="Arial" w:eastAsia="Arial" w:hAnsi="Arial"/>
          <w:sz w:val="18"/>
          <w:szCs w:val="18"/>
          <w:color w:val="auto"/>
        </w:rPr>
        <w:t>The 2010 Plan provides that any stock options, SARs,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and certain other stock-based awards granted to employees under the plan will vest no more rapidly than ratably over a three-year period after the grant date and performance-based stock-based awards, including performance shares, will have a minimum performance period of one year.</w:t>
      </w:r>
    </w:p>
    <w:p>
      <w:pPr>
        <w:spacing w:after="0" w:line="171" w:lineRule="exact"/>
        <w:rPr>
          <w:rFonts w:ascii="Arial" w:cs="Arial" w:eastAsia="Arial" w:hAnsi="Arial"/>
          <w:sz w:val="18"/>
          <w:szCs w:val="18"/>
          <w:color w:val="auto"/>
        </w:rPr>
      </w:pPr>
    </w:p>
    <w:p>
      <w:pPr>
        <w:ind w:left="1080" w:right="660" w:hanging="532"/>
        <w:spacing w:after="0" w:line="24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Shareholder approval is required for material revisions to the plan. </w:t>
      </w:r>
      <w:r>
        <w:rPr>
          <w:rFonts w:ascii="Arial" w:cs="Arial" w:eastAsia="Arial" w:hAnsi="Arial"/>
          <w:sz w:val="18"/>
          <w:szCs w:val="18"/>
          <w:color w:val="auto"/>
        </w:rPr>
        <w:t>Consistent with NYSE rules, the 2010 Plan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approval of material revisions to the plan, as well as certain additional revisions to the plan that do not require shareholder approval under NYSE rules.</w:t>
      </w:r>
    </w:p>
    <w:p>
      <w:pPr>
        <w:spacing w:after="0" w:line="179" w:lineRule="exact"/>
        <w:rPr>
          <w:rFonts w:ascii="Arial" w:cs="Arial" w:eastAsia="Arial" w:hAnsi="Arial"/>
          <w:sz w:val="18"/>
          <w:szCs w:val="18"/>
          <w:color w:val="auto"/>
        </w:rPr>
      </w:pPr>
    </w:p>
    <w:p>
      <w:pPr>
        <w:ind w:left="1080" w:right="80" w:hanging="532"/>
        <w:spacing w:after="0" w:line="242"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Members of the committee administering the plan are non-employee, independent and outside directors. </w:t>
      </w:r>
      <w:r>
        <w:rPr>
          <w:rFonts w:ascii="Arial" w:cs="Arial" w:eastAsia="Arial" w:hAnsi="Arial"/>
          <w:sz w:val="18"/>
          <w:szCs w:val="18"/>
          <w:color w:val="auto"/>
        </w:rPr>
        <w:t>The 2010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administered by the Compensation &amp; Human Resources Committee. All members of the Compensation &amp; Human Resources Committee are "non-employee directors" within the meaning of Rule 16b-3 under the Exchange Act, "independent" under the listing standards of the NYSE, the rules and regulations of the SEC and applicable law and "outside directors" within the meaning of Section 162(m) of the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left="1080" w:right="80" w:hanging="532"/>
        <w:spacing w:after="0" w:line="23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The 2010 Plan contains "clawback" provisions, which provide that if a participant is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have taken action that would constitute an "adverse action," as that term is defined in the 2010 Plan, all rights of the participant under the plan and any agreements evidencing an award then held by the participant will terminate and be forfeited and the committee may require the participant to surrender and return to the Company any shares received, and/or to disgorge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2010 Plan to Prior Plans</w:t>
      </w:r>
    </w:p>
    <w:p>
      <w:pPr>
        <w:spacing w:after="0" w:line="234" w:lineRule="exact"/>
        <w:rPr>
          <w:sz w:val="20"/>
          <w:szCs w:val="20"/>
          <w:color w:val="auto"/>
        </w:rPr>
      </w:pPr>
    </w:p>
    <w:p>
      <w:pPr>
        <w:ind w:firstLine="381"/>
        <w:spacing w:after="0" w:line="236" w:lineRule="auto"/>
        <w:rPr>
          <w:sz w:val="20"/>
          <w:szCs w:val="20"/>
          <w:color w:val="auto"/>
        </w:rPr>
      </w:pPr>
      <w:r>
        <w:rPr>
          <w:rFonts w:ascii="Arial" w:cs="Arial" w:eastAsia="Arial" w:hAnsi="Arial"/>
          <w:sz w:val="18"/>
          <w:szCs w:val="18"/>
          <w:color w:val="auto"/>
        </w:rPr>
        <w:t>As mentioned above, if the 2010 Plan is approved by our shareholders, it will replace our three existing equity compensation plans under which stock-based awards currently are granted, namely The Toro Company 2000 Stock Option Plan, The Toro Company 2000 Directors Stock Plan and The Toro Company Performance Share Plan, and our existing annual cash incentive plan under which annual cash awards are granted to our executive officers and certain other key employees, namely The Toro Company Annual Management Incentive Plan II. The following are some of the material differences between the 2010 Plan and the Prior Plans:</w:t>
      </w:r>
    </w:p>
    <w:p>
      <w:pPr>
        <w:spacing w:after="0" w:line="203" w:lineRule="exact"/>
        <w:rPr>
          <w:sz w:val="20"/>
          <w:szCs w:val="20"/>
          <w:color w:val="auto"/>
        </w:rPr>
      </w:pPr>
    </w:p>
    <w:p>
      <w:pPr>
        <w:ind w:left="1080" w:right="20" w:hanging="532"/>
        <w:spacing w:after="0" w:line="285"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One Plan. </w:t>
      </w:r>
      <w:r>
        <w:rPr>
          <w:rFonts w:ascii="Arial" w:cs="Arial" w:eastAsia="Arial" w:hAnsi="Arial"/>
          <w:sz w:val="16"/>
          <w:szCs w:val="16"/>
          <w:color w:val="auto"/>
        </w:rPr>
        <w:t>The 2010 Plan is intended to replace three of our existing equity compensation plans under which stock-based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are granted and our existing annual cash incentive plan under which annual cash incentive awards currently are granted to executive officers and other key employees and, therefore, will streamline our stock-based compensation and annual cash incentives into one plan and, with respect to the stock-based compensation, with one share authorization of shares of our common stock.</w:t>
      </w:r>
    </w:p>
    <w:p>
      <w:pPr>
        <w:spacing w:after="0" w:line="138" w:lineRule="exact"/>
        <w:rPr>
          <w:rFonts w:ascii="Arial" w:cs="Arial" w:eastAsia="Arial" w:hAnsi="Arial"/>
          <w:sz w:val="16"/>
          <w:szCs w:val="16"/>
          <w:color w:val="auto"/>
        </w:rPr>
      </w:pPr>
    </w:p>
    <w:p>
      <w:pPr>
        <w:ind w:left="1080" w:right="140" w:hanging="532"/>
        <w:spacing w:after="0" w:line="285"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Types of Awards. </w:t>
      </w:r>
      <w:r>
        <w:rPr>
          <w:rFonts w:ascii="Arial" w:cs="Arial" w:eastAsia="Arial" w:hAnsi="Arial"/>
          <w:sz w:val="16"/>
          <w:szCs w:val="16"/>
          <w:color w:val="auto"/>
        </w:rPr>
        <w:t>The 2010 Plan permits the grant of several incentive awards, including nonqualified and incentive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SARs, restricted stock, restricted stock units, performance shares, performance units, annual performance awards, non-employee director awards and other cash-based and stock-based awards; whereas, the Prior Plans only permit the grant of nonqualified and incentive stock options, performance share awards, annual performance awards and non-employee director awards.</w:t>
      </w:r>
    </w:p>
    <w:p>
      <w:pPr>
        <w:spacing w:after="0" w:line="138" w:lineRule="exact"/>
        <w:rPr>
          <w:rFonts w:ascii="Arial" w:cs="Arial" w:eastAsia="Arial" w:hAnsi="Arial"/>
          <w:sz w:val="16"/>
          <w:szCs w:val="16"/>
          <w:color w:val="auto"/>
        </w:rPr>
      </w:pPr>
    </w:p>
    <w:p>
      <w:pPr>
        <w:ind w:left="1080" w:right="180" w:hanging="532"/>
        <w:spacing w:after="0" w:line="264"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Limits on "Full Value" Awards. </w:t>
      </w:r>
      <w:r>
        <w:rPr>
          <w:rFonts w:ascii="Arial" w:cs="Arial" w:eastAsia="Arial" w:hAnsi="Arial"/>
          <w:sz w:val="18"/>
          <w:szCs w:val="18"/>
          <w:color w:val="auto"/>
        </w:rPr>
        <w:t>The 2010 Plan will limit the number of "full value" awards; whereas the Prior Plans do not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on "full value" awards.</w:t>
      </w:r>
    </w:p>
    <w:p>
      <w:pPr>
        <w:spacing w:after="0" w:line="165" w:lineRule="exact"/>
        <w:rPr>
          <w:rFonts w:ascii="Arial" w:cs="Arial" w:eastAsia="Arial" w:hAnsi="Arial"/>
          <w:sz w:val="18"/>
          <w:szCs w:val="18"/>
          <w:color w:val="auto"/>
        </w:rPr>
      </w:pPr>
    </w:p>
    <w:p>
      <w:pPr>
        <w:jc w:val="both"/>
        <w:ind w:left="1080" w:right="400" w:hanging="532"/>
        <w:spacing w:after="0" w:line="24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Sarbanes-Oxley Forfeiture Standard. </w:t>
      </w:r>
      <w:r>
        <w:rPr>
          <w:rFonts w:ascii="Arial" w:cs="Arial" w:eastAsia="Arial" w:hAnsi="Arial"/>
          <w:sz w:val="18"/>
          <w:szCs w:val="18"/>
          <w:color w:val="auto"/>
        </w:rPr>
        <w:t>Unlike the Prior Plans, the 2010 Plan expressly incorporates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 automatic forfeiture standard for certain participants in connection with material noncompliance, as a result of misconduct, resulting in an accounting restatement.</w:t>
      </w:r>
    </w:p>
    <w:p>
      <w:pPr>
        <w:spacing w:after="0" w:line="166" w:lineRule="exact"/>
        <w:rPr>
          <w:rFonts w:ascii="Arial" w:cs="Arial" w:eastAsia="Arial" w:hAnsi="Arial"/>
          <w:sz w:val="18"/>
          <w:szCs w:val="18"/>
          <w:color w:val="auto"/>
        </w:rPr>
      </w:pPr>
    </w:p>
    <w:p>
      <w:pPr>
        <w:ind w:left="1080" w:right="20" w:hanging="532"/>
        <w:spacing w:after="0" w:line="264"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a Change of Control. </w:t>
      </w:r>
      <w:r>
        <w:rPr>
          <w:rFonts w:ascii="Arial" w:cs="Arial" w:eastAsia="Arial" w:hAnsi="Arial"/>
          <w:sz w:val="18"/>
          <w:szCs w:val="18"/>
          <w:color w:val="auto"/>
        </w:rPr>
        <w:t>The definition of "change of control" in the 2010 Plan is narrower than the definitions in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Plans since the change of control provisions will not be triggered unless a person acquires beneficial ownership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780"/>
        <w:spacing w:after="0" w:line="239" w:lineRule="auto"/>
        <w:rPr>
          <w:sz w:val="20"/>
          <w:szCs w:val="20"/>
          <w:color w:val="auto"/>
        </w:rPr>
      </w:pPr>
      <w:r>
        <w:rPr>
          <w:rFonts w:ascii="Arial" w:cs="Arial" w:eastAsia="Arial" w:hAnsi="Arial"/>
          <w:sz w:val="18"/>
          <w:szCs w:val="18"/>
          <w:color w:val="auto"/>
        </w:rPr>
        <w:t>of 20%, as opposed to 15%, of our then-outstanding shares of our common stock or the combined voting power of our then outstanding voting securities.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as of January 20, 2010 and Burn Rate Information</w:t>
      </w:r>
    </w:p>
    <w:p>
      <w:pPr>
        <w:spacing w:after="0" w:line="234"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color w:val="auto"/>
        </w:rPr>
        <w:t>Under the heading "Equity Compensation Plan Information" on page 90, as required by SEC rules, we provide information about shares of our common stock that may be issued under our equity compensation plans as of October 31, 2009. To facilitate the approval of the 2010 Plan, set forth below is certain additional information as of the record date, January 20, 2010.</w:t>
      </w:r>
    </w:p>
    <w:p>
      <w:pPr>
        <w:spacing w:after="0" w:line="208"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of January 20, 2010, there were 34,051,637 shares of our common stock outstanding.</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market value of one share of our common stock on January 20, 2010, as determined by reference to the closing price of our common stock, as reported on the NYSE, was $42.30.</w:t>
      </w:r>
    </w:p>
    <w:p>
      <w:pPr>
        <w:spacing w:after="0" w:line="195"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remaining available for future grants as of January 20, 2010, under the Prior Plans (which includes the 2000 Stock Option Plan, the 2000 Directors Stock Plan and the Performance Share Plan) was 307,576.</w:t>
      </w:r>
    </w:p>
    <w:p>
      <w:pPr>
        <w:spacing w:after="0" w:line="195" w:lineRule="exact"/>
        <w:rPr>
          <w:rFonts w:ascii="Arial" w:cs="Arial" w:eastAsia="Arial" w:hAnsi="Arial"/>
          <w:sz w:val="18"/>
          <w:szCs w:val="18"/>
          <w:color w:val="auto"/>
        </w:rPr>
      </w:pPr>
    </w:p>
    <w:p>
      <w:pPr>
        <w:jc w:val="both"/>
        <w:ind w:left="1080" w:right="200" w:hanging="532"/>
        <w:spacing w:after="0" w:line="23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of our common stock to be issued upon exercise of outstanding stock options as of January 20, 2010, under each of our equity compensation plans that provides for the issuance of stock options (which includes the 2000 Stock Option Plan, The Toro Company 1993 Stock Option Plan and the 2000 Directors Stock Plan) was 2,443,945.</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weighted average exercise price of all outstanding stock options as of January 20, 2010, was $37.40.</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weighted average remaining term for all outstanding stock options as of January 20, 2010, was 5.54 years.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total number of unvested full value awards outstanding as of January 20, 2010, was 353,200.</w:t>
      </w:r>
    </w:p>
    <w:p>
      <w:pPr>
        <w:spacing w:after="0" w:line="212" w:lineRule="exact"/>
        <w:rPr>
          <w:sz w:val="20"/>
          <w:szCs w:val="20"/>
          <w:color w:val="auto"/>
        </w:rPr>
      </w:pPr>
    </w:p>
    <w:p>
      <w:pPr>
        <w:ind w:right="240" w:firstLine="381"/>
        <w:spacing w:after="0" w:line="239" w:lineRule="auto"/>
        <w:rPr>
          <w:sz w:val="20"/>
          <w:szCs w:val="20"/>
          <w:color w:val="auto"/>
        </w:rPr>
      </w:pPr>
      <w:r>
        <w:rPr>
          <w:rFonts w:ascii="Arial" w:cs="Arial" w:eastAsia="Arial" w:hAnsi="Arial"/>
          <w:sz w:val="18"/>
          <w:szCs w:val="18"/>
          <w:color w:val="auto"/>
        </w:rPr>
        <w:t>Additionally, the following table sets forth information regarding awards granted and earned, and the run rate for each of the last three fiscal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6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b w:val="1"/>
                <w:bCs w:val="1"/>
                <w:color w:val="auto"/>
              </w:rPr>
              <w:t>Fiscal 2009</w:t>
            </w:r>
          </w:p>
        </w:tc>
        <w:tc>
          <w:tcPr>
            <w:tcW w:w="126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Fiscal 2008</w:t>
            </w:r>
          </w:p>
        </w:tc>
        <w:tc>
          <w:tcPr>
            <w:tcW w:w="2380" w:type="dxa"/>
            <w:vAlign w:val="bottom"/>
            <w:gridSpan w:val="3"/>
          </w:tcPr>
          <w:p>
            <w:pPr>
              <w:ind w:left="60"/>
              <w:spacing w:after="0"/>
              <w:rPr>
                <w:sz w:val="20"/>
                <w:szCs w:val="20"/>
                <w:color w:val="auto"/>
              </w:rPr>
            </w:pPr>
            <w:r>
              <w:rPr>
                <w:rFonts w:ascii="Arial" w:cs="Arial" w:eastAsia="Arial" w:hAnsi="Arial"/>
                <w:sz w:val="18"/>
                <w:szCs w:val="18"/>
                <w:b w:val="1"/>
                <w:bCs w:val="1"/>
                <w:color w:val="auto"/>
              </w:rPr>
              <w:t>Fiscal 2007</w:t>
            </w:r>
          </w:p>
        </w:tc>
      </w:tr>
      <w:tr>
        <w:trPr>
          <w:trHeight w:val="203"/>
        </w:trPr>
        <w:tc>
          <w:tcPr>
            <w:tcW w:w="1160" w:type="dxa"/>
            <w:vAlign w:val="bottom"/>
          </w:tcPr>
          <w:p>
            <w:pPr>
              <w:spacing w:after="0"/>
              <w:rPr>
                <w:sz w:val="17"/>
                <w:szCs w:val="17"/>
                <w:color w:val="auto"/>
              </w:rPr>
            </w:pPr>
          </w:p>
        </w:tc>
        <w:tc>
          <w:tcPr>
            <w:tcW w:w="52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granted</w:t>
            </w:r>
          </w:p>
        </w:tc>
        <w:tc>
          <w:tcPr>
            <w:tcW w:w="140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388,173</w:t>
            </w:r>
          </w:p>
        </w:tc>
        <w:tc>
          <w:tcPr>
            <w:tcW w:w="126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339,530</w:t>
            </w:r>
          </w:p>
        </w:tc>
        <w:tc>
          <w:tcPr>
            <w:tcW w:w="10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441,752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38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Actual performance-based shares earned</w:t>
            </w:r>
          </w:p>
        </w:tc>
        <w:tc>
          <w:tcPr>
            <w:tcW w:w="14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36,774</w:t>
            </w:r>
          </w:p>
        </w:tc>
        <w:tc>
          <w:tcPr>
            <w:tcW w:w="12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62,264</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205,765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awarded</w:t>
            </w:r>
          </w:p>
        </w:tc>
        <w:tc>
          <w:tcPr>
            <w:tcW w:w="14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4,752</w:t>
            </w: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63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Non-employee director stock awarded and stock in lieu of annual</w:t>
            </w: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5220" w:type="dxa"/>
            <w:vAlign w:val="bottom"/>
          </w:tcPr>
          <w:p>
            <w:pPr>
              <w:ind w:left="180"/>
              <w:spacing w:after="0" w:line="200" w:lineRule="exact"/>
              <w:rPr>
                <w:sz w:val="20"/>
                <w:szCs w:val="20"/>
                <w:color w:val="auto"/>
              </w:rPr>
            </w:pPr>
            <w:r>
              <w:rPr>
                <w:rFonts w:ascii="Arial" w:cs="Arial" w:eastAsia="Arial" w:hAnsi="Arial"/>
                <w:sz w:val="18"/>
                <w:szCs w:val="18"/>
                <w:color w:val="auto"/>
              </w:rPr>
              <w:t>retainers and fees issued</w:t>
            </w:r>
          </w:p>
        </w:tc>
        <w:tc>
          <w:tcPr>
            <w:tcW w:w="140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8,025</w:t>
            </w:r>
          </w:p>
        </w:tc>
        <w:tc>
          <w:tcPr>
            <w:tcW w:w="12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5,152</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5,625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5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basic common shares outstanding during the</w:t>
            </w:r>
          </w:p>
        </w:tc>
        <w:tc>
          <w:tcPr>
            <w:tcW w:w="1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52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fiscal year</w:t>
            </w:r>
          </w:p>
        </w:tc>
        <w:tc>
          <w:tcPr>
            <w:tcW w:w="140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35,784,037</w:t>
            </w:r>
          </w:p>
        </w:tc>
        <w:tc>
          <w:tcPr>
            <w:tcW w:w="12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37,729,610</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40,661,686</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4"/>
        </w:trPr>
        <w:tc>
          <w:tcPr>
            <w:tcW w:w="6380" w:type="dxa"/>
            <w:vAlign w:val="bottom"/>
            <w:gridSpan w:val="2"/>
          </w:tcPr>
          <w:p>
            <w:pPr>
              <w:ind w:left="1140"/>
              <w:spacing w:after="0"/>
              <w:rPr>
                <w:sz w:val="20"/>
                <w:szCs w:val="20"/>
                <w:color w:val="auto"/>
              </w:rPr>
            </w:pPr>
            <w:r>
              <w:rPr>
                <w:rFonts w:ascii="Arial" w:cs="Arial" w:eastAsia="Arial" w:hAnsi="Arial"/>
                <w:sz w:val="18"/>
                <w:szCs w:val="18"/>
                <w:color w:val="auto"/>
              </w:rPr>
              <w:t>Run rate</w:t>
            </w:r>
          </w:p>
        </w:tc>
        <w:tc>
          <w:tcPr>
            <w:tcW w:w="1400" w:type="dxa"/>
            <w:vAlign w:val="bottom"/>
          </w:tcPr>
          <w:p>
            <w:pPr>
              <w:jc w:val="right"/>
              <w:spacing w:after="0"/>
              <w:rPr>
                <w:sz w:val="20"/>
                <w:szCs w:val="20"/>
                <w:color w:val="auto"/>
              </w:rPr>
            </w:pPr>
            <w:r>
              <w:rPr>
                <w:rFonts w:ascii="Arial" w:cs="Arial" w:eastAsia="Arial" w:hAnsi="Arial"/>
                <w:sz w:val="18"/>
                <w:szCs w:val="18"/>
                <w:color w:val="auto"/>
              </w:rPr>
              <w:t>1.36%</w:t>
            </w:r>
          </w:p>
        </w:tc>
        <w:tc>
          <w:tcPr>
            <w:tcW w:w="1260" w:type="dxa"/>
            <w:vAlign w:val="bottom"/>
          </w:tcPr>
          <w:p>
            <w:pPr>
              <w:jc w:val="right"/>
              <w:spacing w:after="0"/>
              <w:rPr>
                <w:sz w:val="20"/>
                <w:szCs w:val="20"/>
                <w:color w:val="auto"/>
              </w:rPr>
            </w:pPr>
            <w:r>
              <w:rPr>
                <w:rFonts w:ascii="Arial" w:cs="Arial" w:eastAsia="Arial" w:hAnsi="Arial"/>
                <w:sz w:val="18"/>
                <w:szCs w:val="18"/>
                <w:color w:val="auto"/>
              </w:rPr>
              <w:t>1.26%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140" w:type="dxa"/>
            <w:vAlign w:val="bottom"/>
          </w:tcPr>
          <w:p>
            <w:pPr>
              <w:spacing w:after="0"/>
              <w:rPr>
                <w:sz w:val="18"/>
                <w:szCs w:val="18"/>
                <w:color w:val="auto"/>
              </w:rPr>
            </w:pPr>
          </w:p>
        </w:tc>
      </w:tr>
      <w:tr>
        <w:trPr>
          <w:trHeight w:val="419"/>
        </w:trPr>
        <w:tc>
          <w:tcPr>
            <w:tcW w:w="6380" w:type="dxa"/>
            <w:vAlign w:val="bottom"/>
            <w:gridSpan w:val="2"/>
          </w:tcPr>
          <w:p>
            <w:pPr>
              <w:jc w:val="right"/>
              <w:ind w:right="472"/>
              <w:spacing w:after="0"/>
              <w:rPr>
                <w:sz w:val="20"/>
                <w:szCs w:val="20"/>
                <w:color w:val="auto"/>
              </w:rPr>
            </w:pPr>
            <w:r>
              <w:rPr>
                <w:rFonts w:ascii="Arial" w:cs="Arial" w:eastAsia="Arial" w:hAnsi="Arial"/>
                <w:sz w:val="18"/>
                <w:szCs w:val="18"/>
                <w:color w:val="auto"/>
              </w:rPr>
              <w:t>74</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60" w:type="dxa"/>
            <w:vAlign w:val="bottom"/>
            <w:tcBorders>
              <w:bottom w:val="single" w:sz="8" w:color="808080"/>
            </w:tcBorders>
          </w:tcPr>
          <w:p>
            <w:pPr>
              <w:spacing w:after="0"/>
              <w:rPr>
                <w:sz w:val="18"/>
                <w:szCs w:val="18"/>
                <w:color w:val="auto"/>
              </w:rPr>
            </w:pPr>
          </w:p>
        </w:tc>
        <w:tc>
          <w:tcPr>
            <w:tcW w:w="522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2010 Plan Features</w:t>
      </w:r>
    </w:p>
    <w:p>
      <w:pPr>
        <w:spacing w:after="0" w:line="234" w:lineRule="exact"/>
        <w:rPr>
          <w:sz w:val="20"/>
          <w:szCs w:val="20"/>
          <w:color w:val="auto"/>
        </w:rPr>
      </w:pPr>
    </w:p>
    <w:p>
      <w:pPr>
        <w:ind w:firstLine="387"/>
        <w:spacing w:after="0" w:line="237" w:lineRule="auto"/>
        <w:rPr>
          <w:sz w:val="20"/>
          <w:szCs w:val="20"/>
          <w:color w:val="auto"/>
        </w:rPr>
      </w:pPr>
      <w:r>
        <w:rPr>
          <w:rFonts w:ascii="Arial" w:cs="Arial" w:eastAsia="Arial" w:hAnsi="Arial"/>
          <w:sz w:val="18"/>
          <w:szCs w:val="18"/>
          <w:color w:val="auto"/>
        </w:rPr>
        <w:t>The major features of the 2010 Plan are summarized below. The summary is qualified in its entirety by reference to the full text of the 2010 Plan, a copy of which may be obtained upon request to our Vice President, Secretary and General Counsel at 8111 Lyndale Avenue South, Bloomington, Minnesota, 55420-1196, by telephone at 888-237-3054, or by email to invest@toro.com. A copy of the 2010 Plan also has been filed electronically with the SEC as an appendix to this proxy statement and is available through the SEC's website at www.sec.gov.</w:t>
      </w:r>
    </w:p>
    <w:p>
      <w:pPr>
        <w:spacing w:after="0" w:line="187"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2010 Plan is to provide a means whereby our employees, directors and third-party service providers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a sense of proprietorship and personal involvement in the development and financial success of our Company, and to encourage them to devote their best efforts to the business of our Company, thereby advancing the interests of our Company and our shareholders. A further purpose of the 2010 Plan is to provide a means through which we may attract able individuals to become employees or serve as directors or third-party service providers and to provide a means whereby those individuals for whom the responsibilities of the successful administration and management of our Company are of importance can acquire and maintain stock ownership, thereby strengthening their concern for the welfare of our Company.</w:t>
      </w:r>
    </w:p>
    <w:p>
      <w:pPr>
        <w:spacing w:after="0" w:line="157" w:lineRule="exact"/>
        <w:rPr>
          <w:sz w:val="20"/>
          <w:szCs w:val="20"/>
          <w:color w:val="auto"/>
        </w:rPr>
      </w:pPr>
    </w:p>
    <w:p>
      <w:pPr>
        <w:ind w:right="100" w:firstLine="391"/>
        <w:spacing w:after="0" w:line="242"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The 2010 Plan will be administered by the Compensation &amp; Human Resources Committee. All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are "non-employee directors" within the meaning of Rule 16b-3 under the Exchange Act, "outside directors" within the meaning of Section 162(m) of the Code, and "independent" under the listing standards of the NYSE, the rules and regulations of the SEC and applicable law. Any decision of the committee on any matter affecting the 2010 Plan and obligations arising under the 2010 Plan or any award granted under the 2010 Plan will be final and binding.</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Under the terms of the 2010 Plan, the committee will have the authority to, among other things:</w:t>
      </w:r>
    </w:p>
    <w:p>
      <w:pPr>
        <w:spacing w:after="0" w:line="21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select eligible individuals to whom awards are granted;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types of awards to be granted and when;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the provisions of such awards, including the number of shares of our common stock subject to an award;</w:t>
      </w:r>
    </w:p>
    <w:p>
      <w:pPr>
        <w:spacing w:after="0" w:line="198"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interpret the 2010 Plan and any instrument evidencing an award under the 2010 Plan and establish rules and regulations pertaining to the administration of the plan; and</w:t>
      </w:r>
    </w:p>
    <w:p>
      <w:pPr>
        <w:spacing w:after="0" w:line="208" w:lineRule="exact"/>
        <w:rPr>
          <w:rFonts w:ascii="Arial" w:cs="Arial" w:eastAsia="Arial" w:hAnsi="Arial"/>
          <w:sz w:val="18"/>
          <w:szCs w:val="18"/>
          <w:color w:val="auto"/>
        </w:rPr>
      </w:pPr>
    </w:p>
    <w:p>
      <w:pPr>
        <w:jc w:val="both"/>
        <w:ind w:left="1080" w:right="160" w:hanging="532"/>
        <w:spacing w:after="0" w:line="23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other determination and take any other action that the committee deems necessary or desirable for administration of the 2010 Plan, including adopting subplans and/or special provisions applicable to stock awards regulated by the laws of a jurisdiction other than, and outside of, the United States.</w:t>
      </w:r>
    </w:p>
    <w:p>
      <w:pPr>
        <w:spacing w:after="0" w:line="208" w:lineRule="exact"/>
        <w:rPr>
          <w:sz w:val="20"/>
          <w:szCs w:val="20"/>
          <w:color w:val="auto"/>
        </w:rPr>
      </w:pPr>
    </w:p>
    <w:p>
      <w:pPr>
        <w:ind w:right="120" w:firstLine="387"/>
        <w:spacing w:after="0" w:line="238" w:lineRule="auto"/>
        <w:rPr>
          <w:sz w:val="20"/>
          <w:szCs w:val="20"/>
          <w:color w:val="auto"/>
        </w:rPr>
      </w:pPr>
      <w:r>
        <w:rPr>
          <w:rFonts w:ascii="Arial" w:cs="Arial" w:eastAsia="Arial" w:hAnsi="Arial"/>
          <w:sz w:val="18"/>
          <w:szCs w:val="18"/>
          <w:color w:val="auto"/>
        </w:rPr>
        <w:t>The committee may delegate to one or more of its members or to one or more officers of the Company such administrative duties or powers as it may deem advisable. The committee may authorize one or more directors or officers of the Company to designate employees, other than officers, directors, or 10% shareholders of the Company, to receive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awards under the plan (provided, however, that if such authority is granted to an officer who is not also a director such officer may only grant options and SARs) and determine the size of any such awards, subject to certain limitations.</w:t>
      </w:r>
    </w:p>
    <w:p>
      <w:pPr>
        <w:spacing w:after="0" w:line="187" w:lineRule="exact"/>
        <w:rPr>
          <w:sz w:val="20"/>
          <w:szCs w:val="20"/>
          <w:color w:val="auto"/>
        </w:rPr>
      </w:pPr>
    </w:p>
    <w:p>
      <w:pPr>
        <w:ind w:right="100" w:firstLine="391"/>
        <w:spacing w:after="0" w:line="242" w:lineRule="auto"/>
        <w:rPr>
          <w:sz w:val="20"/>
          <w:szCs w:val="20"/>
          <w:color w:val="auto"/>
        </w:rPr>
      </w:pPr>
      <w:r>
        <w:rPr>
          <w:rFonts w:ascii="Arial" w:cs="Arial" w:eastAsia="Arial" w:hAnsi="Arial"/>
          <w:sz w:val="18"/>
          <w:szCs w:val="18"/>
          <w:b w:val="1"/>
          <w:bCs w:val="1"/>
          <w:color w:val="auto"/>
        </w:rPr>
        <w:t xml:space="preserve">Shares Authorized. </w:t>
      </w:r>
      <w:r>
        <w:rPr>
          <w:rFonts w:ascii="Arial" w:cs="Arial" w:eastAsia="Arial" w:hAnsi="Arial"/>
          <w:sz w:val="18"/>
          <w:szCs w:val="18"/>
          <w:color w:val="auto"/>
        </w:rPr>
        <w:t>Subject to adjustment (as described below), the maximum aggregate number of shares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the 2010 Plan is 2,750,000 shares, plus the number of shares subject to awards outstanding under the Prior Plans as of the date of shareholder approval of the 2010 Plan but only to the extent that such outstanding awards are forfeited, expire, or otherwise terminate without the issuance of such shares. No more than 825,000 shares authorized for issuance under the 2010 Plan may be granted as "full value" awards and no more than 2,750,000 shares may be granted as incentive stock options.</w:t>
      </w:r>
    </w:p>
    <w:p>
      <w:pPr>
        <w:spacing w:after="0" w:line="207" w:lineRule="exact"/>
        <w:rPr>
          <w:sz w:val="20"/>
          <w:szCs w:val="20"/>
          <w:color w:val="auto"/>
        </w:rPr>
      </w:pPr>
    </w:p>
    <w:p>
      <w:pPr>
        <w:ind w:firstLine="391"/>
        <w:spacing w:after="0" w:line="268" w:lineRule="auto"/>
        <w:rPr>
          <w:sz w:val="20"/>
          <w:szCs w:val="20"/>
          <w:color w:val="auto"/>
        </w:rPr>
      </w:pPr>
      <w:r>
        <w:rPr>
          <w:rFonts w:ascii="Arial" w:cs="Arial" w:eastAsia="Arial" w:hAnsi="Arial"/>
          <w:sz w:val="16"/>
          <w:szCs w:val="16"/>
          <w:color w:val="auto"/>
        </w:rPr>
        <w:t>Shares of our common stock covered by an award granted under the 2010 Plan will not be counted as used unless and until the shares are issued and delivered to a participant, except that the full number of shares granted subject to a SAR that is settled by the issuance of shares will be counted against the shares authorized for issuance under the 2010 Plan. Shares withheld to satisfy tax withholding obligations on awards or to pay the exercise price of awards and any shares not issued or delivered as a result of a "net exercise" of an option will not become available for issuance as future award grants under the plan. Any shares of our common stock repurchased by the Company on the open market using the proceeds from the exercise of an award under the 2010 Plan will not increase the number of shares available for future grants of awards under the 2010 Plan. Any shares of our common stock that are subject to an award under the 2010 Plan or under Prior Plans that terminate by expiration, forfeiture, cancellation, or otherwise without the issuance of shares or are settled in cash in lieu of shares, or are exchanged to the extent permitted under the 2010 Plan, prior to the issuance of shares, for awards not involving shares, will be available again for grant under the 2010 Plan. The shares of our common stock available for issuance under the 2010 Plan may be authorized and unissued shares or treasury shares.</w:t>
      </w:r>
    </w:p>
    <w:p>
      <w:pPr>
        <w:spacing w:after="0" w:line="165" w:lineRule="exact"/>
        <w:rPr>
          <w:sz w:val="20"/>
          <w:szCs w:val="20"/>
          <w:color w:val="auto"/>
        </w:rPr>
      </w:pPr>
    </w:p>
    <w:p>
      <w:pPr>
        <w:ind w:right="380" w:firstLine="384"/>
        <w:spacing w:after="0" w:line="264" w:lineRule="auto"/>
        <w:rPr>
          <w:sz w:val="20"/>
          <w:szCs w:val="20"/>
          <w:color w:val="auto"/>
        </w:rPr>
      </w:pPr>
      <w:r>
        <w:rPr>
          <w:rFonts w:ascii="Arial" w:cs="Arial" w:eastAsia="Arial" w:hAnsi="Arial"/>
          <w:sz w:val="18"/>
          <w:szCs w:val="18"/>
          <w:b w:val="1"/>
          <w:bCs w:val="1"/>
          <w:color w:val="auto"/>
        </w:rPr>
        <w:t xml:space="preserve">Annual Award Limits. </w:t>
      </w:r>
      <w:r>
        <w:rPr>
          <w:rFonts w:ascii="Arial" w:cs="Arial" w:eastAsia="Arial" w:hAnsi="Arial"/>
          <w:sz w:val="18"/>
          <w:szCs w:val="18"/>
          <w:color w:val="auto"/>
        </w:rPr>
        <w:t>The following annual limits apply to grants of awards unless the committee specifically determines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that the award is not intended to qualify as performance-based compensation under the 2010 Plan:</w:t>
      </w:r>
    </w:p>
    <w:p>
      <w:pPr>
        <w:spacing w:after="0" w:line="188" w:lineRule="exact"/>
        <w:rPr>
          <w:sz w:val="20"/>
          <w:szCs w:val="20"/>
          <w:color w:val="auto"/>
        </w:rPr>
      </w:pPr>
    </w:p>
    <w:p>
      <w:pPr>
        <w:ind w:left="1080" w:right="280" w:hanging="532"/>
        <w:spacing w:after="0" w:line="23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250,000 shares subject to stock options, SARs, restricted stock awards, restricted stock units, performance shares or other stock-based awards;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$10,000,000 in performance units;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$5,000,000 in annual performance awards or other cash-based awards.</w:t>
      </w:r>
    </w:p>
    <w:p>
      <w:pPr>
        <w:spacing w:after="0" w:line="190" w:lineRule="exact"/>
        <w:rPr>
          <w:sz w:val="20"/>
          <w:szCs w:val="20"/>
          <w:color w:val="auto"/>
        </w:rPr>
      </w:pPr>
    </w:p>
    <w:p>
      <w:pPr>
        <w:ind w:right="40" w:firstLine="384"/>
        <w:spacing w:after="0" w:line="280" w:lineRule="auto"/>
        <w:rPr>
          <w:sz w:val="20"/>
          <w:szCs w:val="20"/>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In the event of a corporate transaction involving the Company, including any merger, consolidation,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recapitalization, separation, partial or complete liquidation, stock dividend, stock split, reverse stock split, split up, spin-off or other similar corporate transaction or change in our corporate structure affecting our common stock, the committee will substitute or adjust the number and kind of shares of our common stock that may be issued under the 2010 Plan or under particular forms of awards, the number and kind of shares subject to outstanding awards, the stock option or grant price applicable to outstanding awards, the annual award limits, and other value determinations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as are necessary to preserve the benefits or potential benefits of awards under the 2010 Plan.</w:t>
      </w:r>
    </w:p>
    <w:p>
      <w:pPr>
        <w:spacing w:after="0" w:line="190" w:lineRule="exact"/>
        <w:rPr>
          <w:sz w:val="20"/>
          <w:szCs w:val="20"/>
          <w:color w:val="auto"/>
        </w:rPr>
      </w:pPr>
    </w:p>
    <w:p>
      <w:pPr>
        <w:ind w:right="80" w:firstLine="391"/>
        <w:spacing w:after="0"/>
        <w:rPr>
          <w:sz w:val="20"/>
          <w:szCs w:val="20"/>
          <w:color w:val="auto"/>
        </w:rPr>
      </w:pPr>
      <w:r>
        <w:rPr>
          <w:rFonts w:ascii="Arial" w:cs="Arial" w:eastAsia="Arial" w:hAnsi="Arial"/>
          <w:sz w:val="18"/>
          <w:szCs w:val="18"/>
          <w:b w:val="1"/>
          <w:bCs w:val="1"/>
          <w:color w:val="auto"/>
        </w:rPr>
        <w:t xml:space="preserve">Eligibility and Participation. </w:t>
      </w:r>
      <w:r>
        <w:rPr>
          <w:rFonts w:ascii="Arial" w:cs="Arial" w:eastAsia="Arial" w:hAnsi="Arial"/>
          <w:sz w:val="18"/>
          <w:szCs w:val="18"/>
          <w:color w:val="auto"/>
        </w:rPr>
        <w:t>Awards may be granted under the 2010 Plan to employees and third-party service providers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of its affiliates or subsidiaries and to non-employee directors of the Company. Third-party service providers include any consultant, agent, advisor, or independent contractor who renders services to the Company or any of its affiliates or subsidiaries that are not in connection with the offer and sale of our securities in a capital raising transaction and do not directly or indirectly promote or maintain a market for our securities. As of January 20, 2010, approximately 360 employees, nine non-employee directors, and 40 third-party service providers would have been eligible to participate in the 2010 Plan had it been approved by our shareholders at such time.</w:t>
      </w:r>
    </w:p>
    <w:p>
      <w:pPr>
        <w:spacing w:after="0" w:line="190" w:lineRule="exact"/>
        <w:rPr>
          <w:sz w:val="20"/>
          <w:szCs w:val="20"/>
          <w:color w:val="auto"/>
        </w:rPr>
      </w:pPr>
    </w:p>
    <w:p>
      <w:pPr>
        <w:ind w:right="300" w:firstLine="391"/>
        <w:spacing w:after="0" w:line="296" w:lineRule="auto"/>
        <w:rPr>
          <w:sz w:val="20"/>
          <w:szCs w:val="20"/>
          <w:color w:val="auto"/>
        </w:rPr>
      </w:pPr>
      <w:r>
        <w:rPr>
          <w:rFonts w:ascii="Arial" w:cs="Arial" w:eastAsia="Arial" w:hAnsi="Arial"/>
          <w:sz w:val="16"/>
          <w:szCs w:val="16"/>
          <w:b w:val="1"/>
          <w:bCs w:val="1"/>
          <w:color w:val="auto"/>
        </w:rPr>
        <w:t xml:space="preserve">Types of Awards. </w:t>
      </w:r>
      <w:r>
        <w:rPr>
          <w:rFonts w:ascii="Arial" w:cs="Arial" w:eastAsia="Arial" w:hAnsi="Arial"/>
          <w:sz w:val="16"/>
          <w:szCs w:val="16"/>
          <w:color w:val="auto"/>
        </w:rPr>
        <w:t>The 2010 Plan will permit us to grant nonqualified and incentive stock options, stock appreciation rights or SARs,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restricted stock units, performance shares, performance units, annual performance awards, non-employee director awards and other cash-based and stock-based awards. Awards may be granted either alone or in addition to or in tandem with any other type of award.</w:t>
      </w:r>
    </w:p>
    <w:p>
      <w:pPr>
        <w:spacing w:after="0" w:line="145"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entitle the holder to purchase a specified number of shares of our common stock at a specified price,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called the exercise price, subject to the terms and conditions of the stock option grant. The 2010 Plan permits the grant of both nonqualified and incentive stock options. Each stock option granted under the 2010 Plan must be evidenced by an award agreement or statement that specifies the exercise price, the term, the number of shares underlying the stock option, the vesting and any other conditions. The exercise price of each stock option granted under the 2010 Plan must be at least 100% of the fair market value of a share of our common stock as of the date the award is granted to a participant. Fair market value is the closing price of our common stock, as reported on the NYSE. The closing price of our common stock, as reported on the NYSE, on January 20, 2010, was $42.30 per share. The committee will fix the term of each stock option (other than the non-employee director options described below), but stock options granted under the 2010 Plan will not be exercisable more than 10 years after the date the stock option is granted. Other than the non-employee director options described below, each stock option will vest and become exercisable at such time or times as determined by the committee; provided, however, that any option that becomes exercisable solely based on the continued service of a participant will become exercisable no more rapidly than ratably over a three-year period after the grant date of the option, except (a) in connection with the death, disability or retirement of the participant or a change of control; or (b) for any option granted to a participant who within six months of the grant date is first appointed or elected as an officer, hired as an employee, elected as a director or retained as a third-party service provider. Stock options may be exercised, in whole or in part, by payment in full of the exercise price in one or a combination of the following forms of payment: cash or its equivalent; the delivery of common stock already owned by the participant prior to such delivery; broker-assisted cashless exercise; by "net exercise"; a combination of such methods; or such other method as may be permitted by the committee. In the case of a "net exercise" of a stock option, we will not require payment of the exercise price or any required tax withholding obligations related to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exercise, but will reduce the number of shares issued upon the exercise by the largest number of whole shares that has a fair market value that does not exceed the aggregate exercise price for the shares underlying the stock option and any required tax withholding obligations.</w:t>
      </w:r>
    </w:p>
    <w:p>
      <w:pPr>
        <w:spacing w:after="0" w:line="189" w:lineRule="exact"/>
        <w:rPr>
          <w:sz w:val="20"/>
          <w:szCs w:val="20"/>
          <w:color w:val="auto"/>
        </w:rPr>
      </w:pPr>
    </w:p>
    <w:p>
      <w:pPr>
        <w:ind w:right="60" w:firstLine="391"/>
        <w:spacing w:after="0" w:line="237"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Each SAR granted must be evidenced by an award agreement or statement that specifies the grant price,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and such other provisions as the committee may determine. The grant price of a SAR must be at least 100% of the fair market value of our common stock on the date of grant. Upon the exercise of a SAR, the holder is entitled to receive the excess of the fair market value of the shares for which the right is exercised over the grant price of the SAR. Payment upon the exercise of a SAR will be in cash, shares of our common stock, or some combination of cash and shares of our common stock as determined by the committee. The committee may impose any conditions or restrictions on the exercise of a SAR as it deems appropriate. The committee will fix the term of each SAR, but SARs granted under the 2010 Plan will not be exercisable more than 10 years after the date the SAR is granted. Each SAR granted under the 2010 Plan will vest and become exercisable at such time or times as determined by the committee; provided, however, that any SAR that becomes exercisable solely based on the continued service of a participant will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w:t>
      </w:r>
    </w:p>
    <w:p>
      <w:pPr>
        <w:spacing w:after="0" w:line="194" w:lineRule="exact"/>
        <w:rPr>
          <w:sz w:val="20"/>
          <w:szCs w:val="20"/>
          <w:color w:val="auto"/>
        </w:rPr>
      </w:pPr>
    </w:p>
    <w:p>
      <w:pPr>
        <w:ind w:firstLine="391"/>
        <w:spacing w:after="0" w:line="269" w:lineRule="auto"/>
        <w:rPr>
          <w:sz w:val="20"/>
          <w:szCs w:val="20"/>
          <w:color w:val="auto"/>
        </w:rPr>
      </w:pPr>
      <w:r>
        <w:rPr>
          <w:rFonts w:ascii="Arial" w:cs="Arial" w:eastAsia="Arial" w:hAnsi="Arial"/>
          <w:sz w:val="16"/>
          <w:szCs w:val="16"/>
          <w:b w:val="1"/>
          <w:bCs w:val="1"/>
          <w:i w:val="1"/>
          <w:iCs w:val="1"/>
          <w:color w:val="auto"/>
        </w:rPr>
        <w:t xml:space="preserve">Restricted Stock and Restricted Stock Units. </w:t>
      </w:r>
      <w:r>
        <w:rPr>
          <w:rFonts w:ascii="Arial" w:cs="Arial" w:eastAsia="Arial" w:hAnsi="Arial"/>
          <w:sz w:val="16"/>
          <w:szCs w:val="16"/>
          <w:color w:val="auto"/>
        </w:rPr>
        <w:t>Shares of restricted stock and/or restricted stock units may be granted under the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Restricted stock units are similar to restricted stock except that no shares are actually awarded to the participant on the grant date. The period(s) of restriction, the number of shares of restricted stock or the number of restricted stock units granted, the purchase price, if any, and such other conditions and/or restrictions as the committee shall determine shall be set forth in an award agreement or statement. If an award of restricted stock or restricted stock units vests solely based on the continued service of a participant, the award will vest no more rapidly than ratably over a three-year period after the grant date of the award, except (a) in 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 Participants holding shares of restricted stock may be granted voting rights with respect to their shares, but participants holding restricted stock units will not have voting rights with respect to their restricted stock units. After all conditions and restrictions applicable to restricted shares and/or restricted stock units have been satisfied or have lapsed (including the satisfaction of any applicable tax withholding obligations), shares of restricted stock will become freely transferable (except as otherwise provided in the 2010 Plan) and restricted stock units will be paid in cash, shares of our common stock, or some combination of cash and shares of our common stock as determined by the committee. The committee may provide that an award of restricted stock is conditioned upon the participant making or refraining from making an election with respect to the award under Section 83(b) of the 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firstLine="391"/>
        <w:spacing w:after="0" w:line="272" w:lineRule="auto"/>
        <w:rPr>
          <w:sz w:val="20"/>
          <w:szCs w:val="20"/>
          <w:color w:val="auto"/>
        </w:rPr>
      </w:pPr>
      <w:r>
        <w:rPr>
          <w:rFonts w:ascii="Arial" w:cs="Arial" w:eastAsia="Arial" w:hAnsi="Arial"/>
          <w:sz w:val="16"/>
          <w:szCs w:val="16"/>
          <w:b w:val="1"/>
          <w:bCs w:val="1"/>
          <w:i w:val="1"/>
          <w:iCs w:val="1"/>
          <w:color w:val="auto"/>
        </w:rPr>
        <w:t xml:space="preserve">Performance Shares and Performance Units. </w:t>
      </w:r>
      <w:r>
        <w:rPr>
          <w:rFonts w:ascii="Arial" w:cs="Arial" w:eastAsia="Arial" w:hAnsi="Arial"/>
          <w:sz w:val="16"/>
          <w:szCs w:val="16"/>
          <w:color w:val="auto"/>
        </w:rPr>
        <w:t>Performance shares and/or performance units may be granted under the 2010 Plan in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and upon such terms as the committee may determine. Each performance unit will have an initial value that is established by the committee on the date of grant, and each performance share will have an initial value equal to the fair market value of a share on grant date. With respect to an award of performance shares and/or performance units, the committee will establish performance periods and performance goals. The performance period set forth in any award agreement for any performance shares must be at least one year, except in connection with the death or disability of a participant or a change in control of the Company. The extent to which the participant achieves his or her performance goals during the applicable performance period will determine the value and/or the number of performance shares and/or performance units earned by a participant. Payment of earned performance shares and/or performance units will be in cash, shares of our common stock, or some combination of cash and shares of our common stock, as determined by the committee and stated in the award agreement.</w:t>
      </w:r>
    </w:p>
    <w:p>
      <w:pPr>
        <w:spacing w:after="0" w:line="391" w:lineRule="exact"/>
        <w:rPr>
          <w:sz w:val="20"/>
          <w:szCs w:val="20"/>
          <w:color w:val="auto"/>
        </w:rPr>
      </w:pPr>
    </w:p>
    <w:p>
      <w:pPr>
        <w:ind w:right="80" w:firstLine="391"/>
        <w:spacing w:after="0" w:line="236" w:lineRule="auto"/>
        <w:rPr>
          <w:sz w:val="20"/>
          <w:szCs w:val="20"/>
          <w:color w:val="auto"/>
        </w:rPr>
      </w:pPr>
      <w:r>
        <w:rPr>
          <w:rFonts w:ascii="Arial" w:cs="Arial" w:eastAsia="Arial" w:hAnsi="Arial"/>
          <w:sz w:val="18"/>
          <w:szCs w:val="18"/>
          <w:color w:val="auto"/>
        </w:rPr>
        <w:t>If prior to the end of a performance period, a participant holding performance shares or performance units is reassigned to a position with the Company or any affiliate or subsidiary of the Company, and that position is not eligible to participate in such an award, but the participant does not terminate his or her employment or service, the committee may, in its sole discretion, cause shares of our common stock to be delivered or payment made with respect to the participant's award, but only if otherwise earned and only with respect to the portion of the applicable performance period completed at the date of such reassignment, with no shares to be delivered for partial fiscal years.</w:t>
      </w:r>
    </w:p>
    <w:p>
      <w:pPr>
        <w:spacing w:after="0" w:line="211" w:lineRule="exact"/>
        <w:rPr>
          <w:sz w:val="20"/>
          <w:szCs w:val="20"/>
          <w:color w:val="auto"/>
        </w:rPr>
      </w:pPr>
    </w:p>
    <w:p>
      <w:pPr>
        <w:ind w:right="40" w:firstLine="381"/>
        <w:spacing w:after="0" w:line="236" w:lineRule="auto"/>
        <w:rPr>
          <w:sz w:val="20"/>
          <w:szCs w:val="20"/>
          <w:color w:val="auto"/>
        </w:rPr>
      </w:pPr>
      <w:r>
        <w:rPr>
          <w:rFonts w:ascii="Arial" w:cs="Arial" w:eastAsia="Arial" w:hAnsi="Arial"/>
          <w:sz w:val="18"/>
          <w:szCs w:val="18"/>
          <w:color w:val="auto"/>
        </w:rPr>
        <w:t>At any time during a performance period of more than one fiscal year, the committee may, in its discretion, cancel a portion of an award or performance shares or performance units prior to the conclusion of the performance period if the award has not already vested, the committee determines that the performance goals cannot be achieved at the maximum levels established at the time of grant, the awards are scaled back in proportion to the estimated short fall in achievement of performance goals, and all awards for the same performance period are scaled back by the same percentage. Once an award is scaled back, it may not again be increased to add or recover performance shares or performance units that were canceled.</w:t>
      </w:r>
    </w:p>
    <w:p>
      <w:pPr>
        <w:spacing w:after="0" w:line="190" w:lineRule="exact"/>
        <w:rPr>
          <w:sz w:val="20"/>
          <w:szCs w:val="20"/>
          <w:color w:val="auto"/>
        </w:rPr>
      </w:pPr>
    </w:p>
    <w:p>
      <w:pPr>
        <w:ind w:right="40" w:firstLine="384"/>
        <w:spacing w:after="0" w:line="238" w:lineRule="auto"/>
        <w:rPr>
          <w:sz w:val="20"/>
          <w:szCs w:val="20"/>
          <w:color w:val="auto"/>
        </w:rPr>
      </w:pPr>
      <w:r>
        <w:rPr>
          <w:rFonts w:ascii="Arial" w:cs="Arial" w:eastAsia="Arial" w:hAnsi="Arial"/>
          <w:sz w:val="18"/>
          <w:szCs w:val="18"/>
          <w:b w:val="1"/>
          <w:bCs w:val="1"/>
          <w:i w:val="1"/>
          <w:iCs w:val="1"/>
          <w:color w:val="auto"/>
        </w:rPr>
        <w:t xml:space="preserve">Annual Performance Awards. </w:t>
      </w:r>
      <w:r>
        <w:rPr>
          <w:rFonts w:ascii="Arial" w:cs="Arial" w:eastAsia="Arial" w:hAnsi="Arial"/>
          <w:sz w:val="18"/>
          <w:szCs w:val="18"/>
          <w:color w:val="auto"/>
        </w:rPr>
        <w:t>Annual performance awards payable in cash may be granted under the 2010 Plan in such amounts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such terms as the committee may determine, based on the achievement of specified performance goals for annual periods or other time periods as determined by the committee. The committee will determine the target amount that may be paid with respect to an annual performance award, which will be based on a percentage of a participant's actual annual base salary at the time of grant. That percentage may be up to 125% for any participant. The committee may establish a maximum potential payout amount with respect to an annual performance award of up to 200% of the target payout in the event performance goals are exceeded by an amount established by the committee at the time performance goals are established and may establish measurements for prorating the amount of payouts for achievement of performance goals at less than or greater than the target payout but less than the maximum payout.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40" w:firstLine="391"/>
        <w:spacing w:after="0" w:line="279" w:lineRule="auto"/>
        <w:rPr>
          <w:sz w:val="20"/>
          <w:szCs w:val="20"/>
          <w:color w:val="auto"/>
        </w:rPr>
      </w:pPr>
      <w:r>
        <w:rPr>
          <w:rFonts w:ascii="Arial" w:cs="Arial" w:eastAsia="Arial" w:hAnsi="Arial"/>
          <w:sz w:val="16"/>
          <w:szCs w:val="16"/>
          <w:b w:val="1"/>
          <w:bCs w:val="1"/>
          <w:i w:val="1"/>
          <w:iCs w:val="1"/>
          <w:color w:val="auto"/>
        </w:rPr>
        <w:t xml:space="preserve">Non-Employee Director Awards. </w:t>
      </w:r>
      <w:r>
        <w:rPr>
          <w:rFonts w:ascii="Arial" w:cs="Arial" w:eastAsia="Arial" w:hAnsi="Arial"/>
          <w:sz w:val="16"/>
          <w:szCs w:val="16"/>
          <w:color w:val="auto"/>
        </w:rPr>
        <w:t>Each non-employee director of the Company will continue to receive an unrestricted stock award and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automatic stock option grant each year on the first business day of each fiscal year (usually November 1) and will be permitted to elect to receive shares of our common stock in lieu of their annual retainers and meeting fees otherwise payable in cash under the 2010 Plan, on terms substantially the same as the current terms of the 2000 Directors Stock Plan. Any additional Awards granted to non-employee directors under the 2010 Plan must be made by a committee consisting solely of directors who are "independent directors" within the meaning of the NYSE rules.</w:t>
      </w:r>
    </w:p>
    <w:p>
      <w:pPr>
        <w:spacing w:after="0" w:line="180" w:lineRule="exact"/>
        <w:rPr>
          <w:sz w:val="20"/>
          <w:szCs w:val="20"/>
          <w:color w:val="auto"/>
        </w:rPr>
      </w:pPr>
    </w:p>
    <w:p>
      <w:pPr>
        <w:ind w:firstLine="391"/>
        <w:spacing w:after="0" w:line="235" w:lineRule="auto"/>
        <w:rPr>
          <w:sz w:val="20"/>
          <w:szCs w:val="20"/>
          <w:color w:val="auto"/>
        </w:rPr>
      </w:pPr>
      <w:r>
        <w:rPr>
          <w:rFonts w:ascii="Arial" w:cs="Arial" w:eastAsia="Arial" w:hAnsi="Arial"/>
          <w:sz w:val="18"/>
          <w:szCs w:val="18"/>
          <w:color w:val="auto"/>
        </w:rPr>
        <w:t>On the first business day of each fiscal year (usually November 1), each non-employee director of the Company will receive shares of our common stock having a fair market value of $20,000 (or such other amount as may be determined by the committee from time to time), based on the average of the closing prices of our common stock, as reported on the NYSE, for each of the trading days in the three-month calendar period immediately prior to the date of issue, and will be granted a stock option to purchase the number of shares of our common stock having a grant date fair value for the option of $40,000 (or such other amount as may be determined by the committee from time to time). Under the terms of the 2010 Plan, the value is to be determined using a standard Black-Scholes, binomial or monte carlo valuation formula, based on assumptions consistent with those used to value option grants disclosed under Schedule 14A under the Exchange Act, or successor requirements, for the business day prior to the date of grant. For the fiscal 2010 options granted on November 1, 2009 under the 2000 Directors Stock Plan, we used the Black-Scholes valuation method for stock option grant valuations. Each non-employee director option granted under the 2010 Plan will have an exercise price equal to 100% of the fair market value of one share of our common stock on the date of grant, a term of 10 years and, except as described below, will vest and become exercisable in three approximately equal installments on each of the first, second and third year anniversaries following the date of grant.</w:t>
      </w:r>
    </w:p>
    <w:p>
      <w:pPr>
        <w:spacing w:after="0" w:line="215" w:lineRule="exact"/>
        <w:rPr>
          <w:sz w:val="20"/>
          <w:szCs w:val="20"/>
          <w:color w:val="auto"/>
        </w:rPr>
      </w:pPr>
    </w:p>
    <w:p>
      <w:pPr>
        <w:ind w:right="20" w:firstLine="387"/>
        <w:spacing w:after="0" w:line="236" w:lineRule="auto"/>
        <w:rPr>
          <w:sz w:val="20"/>
          <w:szCs w:val="20"/>
          <w:color w:val="auto"/>
        </w:rPr>
      </w:pPr>
      <w:r>
        <w:rPr>
          <w:rFonts w:ascii="Arial" w:cs="Arial" w:eastAsia="Arial" w:hAnsi="Arial"/>
          <w:sz w:val="18"/>
          <w:szCs w:val="18"/>
          <w:color w:val="auto"/>
        </w:rPr>
        <w:t>The 2010 Plan permits non-employee directors to continue to elect to receive shares of our common stock in lieu of their annual retainers and meeting fees otherwise payable in cash. The election to receive our common stock in lieu of cash must be made prior to the date such fees are otherwise scheduled to be paid to the director but no later than May 31 of the calendar year for which the fees are to be paid. Fees that are earned after the date a director makes an election are reserved through the rest of the calendar year and then are issued to the director in December of that year. The number of shares to be issued is determined by dividing the dollar amount of reserved fees by closing price, as reported on the NYSE, for the date that the shares are issued.</w:t>
      </w:r>
    </w:p>
    <w:p>
      <w:pPr>
        <w:spacing w:after="0" w:line="190" w:lineRule="exact"/>
        <w:rPr>
          <w:sz w:val="20"/>
          <w:szCs w:val="20"/>
          <w:color w:val="auto"/>
        </w:rPr>
      </w:pPr>
    </w:p>
    <w:p>
      <w:pPr>
        <w:ind w:right="80" w:firstLine="391"/>
        <w:spacing w:after="0" w:line="244" w:lineRule="auto"/>
        <w:rPr>
          <w:sz w:val="20"/>
          <w:szCs w:val="20"/>
          <w:color w:val="auto"/>
        </w:rPr>
      </w:pPr>
      <w:r>
        <w:rPr>
          <w:rFonts w:ascii="Arial" w:cs="Arial" w:eastAsia="Arial" w:hAnsi="Arial"/>
          <w:sz w:val="18"/>
          <w:szCs w:val="18"/>
          <w:b w:val="1"/>
          <w:bCs w:val="1"/>
          <w:i w:val="1"/>
          <w:iCs w:val="1"/>
          <w:color w:val="auto"/>
        </w:rPr>
        <w:t xml:space="preserve">Other Cash-Based Awards. </w:t>
      </w:r>
      <w:r>
        <w:rPr>
          <w:rFonts w:ascii="Arial" w:cs="Arial" w:eastAsia="Arial" w:hAnsi="Arial"/>
          <w:sz w:val="18"/>
          <w:szCs w:val="18"/>
          <w:color w:val="auto"/>
        </w:rPr>
        <w:t>Cash-based awards that are not annual performance awards may be granted to participants in such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upon such terms as the committee may determine. These other cash-based awards will be paid in cash only. If the other cash-based awards are subject to performance goals, the number and/or value of the other cash-based awards that will be paid out to the participant will depend on the extent to which the performance goals are met.</w:t>
      </w:r>
    </w:p>
    <w:p>
      <w:pPr>
        <w:spacing w:after="0" w:line="185" w:lineRule="exact"/>
        <w:rPr>
          <w:sz w:val="20"/>
          <w:szCs w:val="20"/>
          <w:color w:val="auto"/>
        </w:rPr>
      </w:pPr>
    </w:p>
    <w:p>
      <w:pPr>
        <w:ind w:right="180" w:firstLine="391"/>
        <w:spacing w:after="0" w:line="262" w:lineRule="auto"/>
        <w:rPr>
          <w:sz w:val="20"/>
          <w:szCs w:val="20"/>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Other stock-based or stock-related awards (including the grant or offer for sale of unrestricted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the payment 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cash or otherwise of amounts based on the value of shares of our common stock) may be granted in such amounts and subject to such terms and conditions (including performance goals) as determined by the committee. Each other stock-based award shall be expressed in terms of shares of our common stock or units based on shares of our common stock, as determined by the committee. Other stock-based awards will be paid in cash or shares of our common stock, as determined by the committee. If the other stock-based awards are subject to performance goals, the number and/or value of other stock-based awards that will be paid out to the participant will depend on the extent to which the performance goals are met.</w:t>
      </w:r>
    </w:p>
    <w:p>
      <w:pPr>
        <w:spacing w:after="0" w:line="161" w:lineRule="exact"/>
        <w:rPr>
          <w:sz w:val="20"/>
          <w:szCs w:val="20"/>
          <w:color w:val="auto"/>
        </w:rPr>
      </w:pPr>
    </w:p>
    <w:p>
      <w:pPr>
        <w:ind w:right="240" w:firstLine="391"/>
        <w:spacing w:after="0" w:line="249" w:lineRule="auto"/>
        <w:rPr>
          <w:sz w:val="20"/>
          <w:szCs w:val="20"/>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Except to the extent otherwise provided in the 2010 Plan or an award agreement at the time of grant or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 at a later date, in the event a participant's employment or other service with the Company or any of our affiliates or subsidiaries, as the case may be, is terminated by reason of death or disability, then:</w:t>
      </w:r>
    </w:p>
    <w:p>
      <w:pPr>
        <w:spacing w:after="0" w:line="202" w:lineRule="exact"/>
        <w:rPr>
          <w:sz w:val="20"/>
          <w:szCs w:val="20"/>
          <w:color w:val="auto"/>
        </w:rPr>
      </w:pPr>
    </w:p>
    <w:p>
      <w:pPr>
        <w:ind w:left="1080" w:right="160" w:hanging="532"/>
        <w:spacing w:after="0" w:line="23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stock options (including non-employee director options) and SARs held by the participant shall become immediately exercisable in full and will remain exercisable for a period of one year after such termination, but not later than the date the stock options or SARs expire;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198" w:lineRule="exact"/>
        <w:rPr>
          <w:rFonts w:ascii="Arial" w:cs="Arial" w:eastAsia="Arial" w:hAnsi="Arial"/>
          <w:sz w:val="18"/>
          <w:szCs w:val="18"/>
          <w:color w:val="auto"/>
        </w:rPr>
      </w:pPr>
    </w:p>
    <w:p>
      <w:pPr>
        <w:ind w:left="1080" w:hanging="532"/>
        <w:spacing w:after="0" w:line="23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 except that for performance shares or performance units, if at least a portion of the applicable performance period, but in no event less than one year, has passed the committee may cause that portion of the award that has been earned to be awarded; and</w:t>
      </w:r>
    </w:p>
    <w:p>
      <w:pPr>
        <w:spacing w:after="0" w:line="195" w:lineRule="exact"/>
        <w:rPr>
          <w:rFonts w:ascii="Arial" w:cs="Arial" w:eastAsia="Arial" w:hAnsi="Arial"/>
          <w:sz w:val="18"/>
          <w:szCs w:val="18"/>
          <w:color w:val="auto"/>
        </w:rPr>
      </w:pPr>
    </w:p>
    <w:p>
      <w:pPr>
        <w:ind w:left="1080" w:right="40" w:hanging="532"/>
        <w:spacing w:after="0" w:line="236"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 provided, however, that with respect to any performance shares or performance units, if a participant's employment or other service with our Company or any affiliate or subsidiary, as the case may be, is terminated by death or disability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and</w:t>
      </w:r>
    </w:p>
    <w:p>
      <w:pPr>
        <w:spacing w:after="0" w:line="208"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end of the time period to which an annual performance award relates, then any such annual performance award held by a participant will terminate and be forfeited, but if the effective date of such termination is on or after the end of the time period to which an annual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280"/>
        <w:spacing w:after="0" w:line="239" w:lineRule="auto"/>
        <w:rPr>
          <w:sz w:val="20"/>
          <w:szCs w:val="20"/>
          <w:color w:val="auto"/>
        </w:rPr>
      </w:pPr>
      <w:r>
        <w:rPr>
          <w:rFonts w:ascii="Arial" w:cs="Arial" w:eastAsia="Arial" w:hAnsi="Arial"/>
          <w:sz w:val="18"/>
          <w:szCs w:val="18"/>
          <w:color w:val="auto"/>
        </w:rPr>
        <w:t>award relates, then any such annual performance award held by a participant will be paid to the participant in accordance with the payment terms of such award.</w:t>
      </w:r>
    </w:p>
    <w:p>
      <w:pPr>
        <w:spacing w:after="0" w:line="209" w:lineRule="exact"/>
        <w:rPr>
          <w:sz w:val="20"/>
          <w:szCs w:val="20"/>
          <w:color w:val="auto"/>
        </w:rPr>
      </w:pPr>
    </w:p>
    <w:p>
      <w:pPr>
        <w:jc w:val="both"/>
        <w:ind w:right="80" w:firstLine="391"/>
        <w:spacing w:after="0" w:line="238" w:lineRule="auto"/>
        <w:rPr>
          <w:sz w:val="20"/>
          <w:szCs w:val="20"/>
          <w:color w:val="auto"/>
        </w:rPr>
      </w:pPr>
      <w:r>
        <w:rPr>
          <w:rFonts w:ascii="Arial" w:cs="Arial" w:eastAsia="Arial" w:hAnsi="Arial"/>
          <w:sz w:val="18"/>
          <w:szCs w:val="18"/>
          <w:color w:val="auto"/>
        </w:rPr>
        <w:t>Except to the extent otherwise provided in the 2010 Plan or an award agreement at the time of grant or as determined by the committee at a later date, in the event a participant's employment or other service with the Company or any of our affiliates or subsidiaries, as the case may be, is terminated by reason of retirement (except with respect to non-employee directors), then:</w:t>
      </w:r>
    </w:p>
    <w:p>
      <w:pPr>
        <w:spacing w:after="0" w:line="208" w:lineRule="exact"/>
        <w:rPr>
          <w:sz w:val="20"/>
          <w:szCs w:val="20"/>
          <w:color w:val="auto"/>
        </w:rPr>
      </w:pPr>
    </w:p>
    <w:p>
      <w:pPr>
        <w:ind w:left="1080" w:right="80" w:hanging="532"/>
        <w:spacing w:after="0" w:line="23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outstanding stock options (other than non-employee director options) and SARs held by the participant will remain outstanding and exercisable and will continue to vest and become exercisable in accordance with their terms for four years after the date of such retirement, but will not be exercisable later than the date the stock options or SARs expires;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198"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 provided, however, that with respect to any performance shares or performance units, if a participant's employment or other service with our Company or any affiliate or subsidiary, as the case may be, is terminated by reason of retirement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and</w:t>
      </w:r>
    </w:p>
    <w:p>
      <w:pPr>
        <w:spacing w:after="0" w:line="194"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effective date of such retirement is before the end of the performance period to which an annual performance award relates, then any such annual performance award held by a participant will terminate and be forfeited, provided, however, the committee may, in its sole discretion, cause payment to be made with respect to the participant's award and in accordance with the payment terms of such award, but only if otherwise earned for the entire performance period and only with respect to the portion of the performance period completed as of the date of retirement.</w:t>
      </w:r>
    </w:p>
    <w:p>
      <w:pPr>
        <w:spacing w:after="0" w:line="211"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color w:val="auto"/>
        </w:rPr>
        <w:t>Except to the extent otherwise provided in an award agreement at the time of grant or as determined by the committee at a later date, if a plan participant's employment or other service with the Company or any affiliate or subsidiary of the Company, as the case may be, is terminated for any reason other than death, disability or retirement (except with respect to non-employee directors), then:</w:t>
      </w:r>
    </w:p>
    <w:p>
      <w:pPr>
        <w:spacing w:after="0" w:line="222" w:lineRule="exact"/>
        <w:rPr>
          <w:sz w:val="20"/>
          <w:szCs w:val="20"/>
          <w:color w:val="auto"/>
        </w:rPr>
      </w:pPr>
    </w:p>
    <w:p>
      <w:pPr>
        <w:ind w:left="1080" w:right="160" w:hanging="532"/>
        <w:spacing w:after="0" w:line="23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outstanding stock options (other than non-employee director options) and SARs held by the participant that then are exercisable will remain exercisable for three months after the date of termination, but those that are not exercisable will terminate and be forfeited;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that then have not vested will terminate and be forfeited;</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outstanding, but unpaid, restricted stock units, performance shares, performance units, and other cash-based or stock-based awards held by the participant will terminate and be forfeited;</w:t>
      </w:r>
    </w:p>
    <w:p>
      <w:pPr>
        <w:spacing w:after="0" w:line="195" w:lineRule="exact"/>
        <w:rPr>
          <w:rFonts w:ascii="Arial" w:cs="Arial" w:eastAsia="Arial" w:hAnsi="Arial"/>
          <w:sz w:val="18"/>
          <w:szCs w:val="18"/>
          <w:color w:val="auto"/>
        </w:rPr>
      </w:pPr>
    </w:p>
    <w:p>
      <w:pPr>
        <w:ind w:left="1080" w:right="20" w:hanging="532"/>
        <w:spacing w:after="0" w:line="23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effective date of such termination is before the end of the time period to which an annual performance award relates, then any such annual performance award held by a participant will terminate and be forfeited, but if the effective date of such termination is on or after the end of the time period to which an annual performance award relates, then any such annual performance award held by a participant will be paid to the participant in accordance with the payment terms of such award; and</w:t>
      </w:r>
    </w:p>
    <w:p>
      <w:pPr>
        <w:spacing w:after="0" w:line="195" w:lineRule="exact"/>
        <w:rPr>
          <w:rFonts w:ascii="Arial" w:cs="Arial" w:eastAsia="Arial" w:hAnsi="Arial"/>
          <w:sz w:val="18"/>
          <w:szCs w:val="18"/>
          <w:color w:val="auto"/>
        </w:rPr>
      </w:pPr>
    </w:p>
    <w:p>
      <w:pPr>
        <w:ind w:left="1080" w:hanging="532"/>
        <w:spacing w:after="0" w:line="235"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 non-employee director has served as a member of the Board for 10 full fiscal years or longer and terminates service on the Board for any reason other than death or disability, (a) outstanding unvested non-employee director options will remain outstanding and continue to vest in accordance with their terms, and (b)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(i) all unvested non-employee director options will expire and be canceled, and (ii) the non-employee director may exercise any vested outstanding non-employee director options for up to three months after the date of termination, but not later than the date the non-employee director option expires. The following directors have served as a member of the Board for 10 full fiscal years or longer: Robert C. Buhrmaster, Winslow H. Buxton, Janet K. Cooper, Robert H. Nassau, Gregg W. Steinhafel and Christopher A. Twomey. Additionally, upon the completion of fiscal 2010, Katherine J. Harless will have served as a member of the Board for 10 full fiscal years.</w:t>
      </w:r>
    </w:p>
    <w:p>
      <w:pPr>
        <w:spacing w:after="0" w:line="193" w:lineRule="exact"/>
        <w:rPr>
          <w:sz w:val="20"/>
          <w:szCs w:val="20"/>
          <w:color w:val="auto"/>
        </w:rPr>
      </w:pPr>
    </w:p>
    <w:p>
      <w:pPr>
        <w:ind w:firstLine="391"/>
        <w:spacing w:after="0" w:line="238" w:lineRule="auto"/>
        <w:rPr>
          <w:sz w:val="20"/>
          <w:szCs w:val="20"/>
          <w:color w:val="auto"/>
        </w:rPr>
      </w:pPr>
      <w:r>
        <w:rPr>
          <w:rFonts w:ascii="Arial" w:cs="Arial" w:eastAsia="Arial" w:hAnsi="Arial"/>
          <w:sz w:val="18"/>
          <w:szCs w:val="18"/>
          <w:b w:val="1"/>
          <w:bCs w:val="1"/>
          <w:color w:val="auto"/>
        </w:rPr>
        <w:t xml:space="preserve">Forfeiture and Recoupment. </w:t>
      </w:r>
      <w:r>
        <w:rPr>
          <w:rFonts w:ascii="Arial" w:cs="Arial" w:eastAsia="Arial" w:hAnsi="Arial"/>
          <w:sz w:val="18"/>
          <w:szCs w:val="18"/>
          <w:color w:val="auto"/>
        </w:rPr>
        <w:t>If a participant is determined by the committee to have taken any action that would constitute an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all rights of the participant under the 2010 Plan and any agreements evidencing an award then held by the participant will terminate and be forfeited and the committee may require the participant to surrender and return to the Company any shares received, and/or to disgorge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 An "adverse action" includes any of the following actions that occur during or within one year after the termination of employment or other service with the Company or any affiliate or subsidiary: (a) being employed or retained by or rendering services to any organization that, directly or indirectly, competes with the Company or its affiliates or subsidiaries; (b) rendering services that are prejudicial or in conflict with the interests of the Company or any affiliate or subsidiary; (c) violating any confidentiality agreement or agreement governing the ownership or assignment of intellectual property rights with the Company; or (d) engaging in any other conduct or act determined to be injurious, detrimental or prejudicial to any interest of the Company or any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color w:val="auto"/>
        </w:rPr>
        <w:t>affiliate or subsidiary. In addition, if we are required to prepare an accounting restatement due to our material noncompliance, as a result of misconduct, with any financial reporting requirement under the securities laws, then any participant who is one of the individuals subject to automatic forfeiture under Section 304 of the Sarbanes-Oxley Act of 2002 will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189"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b w:val="1"/>
          <w:bCs w:val="1"/>
          <w:color w:val="auto"/>
        </w:rPr>
        <w:t xml:space="preserve">Performance Measures. </w:t>
      </w:r>
      <w:r>
        <w:rPr>
          <w:rFonts w:ascii="Arial" w:cs="Arial" w:eastAsia="Arial" w:hAnsi="Arial"/>
          <w:sz w:val="18"/>
          <w:szCs w:val="18"/>
          <w:color w:val="auto"/>
        </w:rPr>
        <w:t>If the committee intends to qualify an award under the 2010 Plan as "performance-based compensation"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the performance goals selected by the committee must be based on the achievement of specified levels of one, or any combination, of the following performance measure elements: (a) sales and revenue measure elements, including gross revenue, sales allowances, net revenue, invoiced revenue, collected revenue, revenues from new products, and bad debts; (b) expense measurement elements, including direct material costs, direct or indirect labor costs, direct or indirect manufacturing costs, cost of goods sold, sales, general and administrative expenses, operating expenses, non-cash expenses, tax expense, non-operating expenses, and total expenses; (c) profitability and productivity measure elements, including gross margin, net operating income, EBITDA, EBIT, net operating income after taxes, net income, net cash flow, and net cash flow from operations; (d) asset utilization and effectiveness measure elements, including cash, excess cash, accounts receivable, inventory (WIP and/or finished goods), current assets, working capital, total capital, fixed assets, total assets, standard hours, plant utilization, purchase price variance, and manufacturing overhead variance; (e) debt and equity measures, including accounts payable, current accrued liabilities, total current liabilities, total debt, debt principal payments, net current borrowings, total long-term debt, credit rating, retained earnings, total preferred equity, total common equity, and total equity; (f) shareholder and return measure elements, including earnings per share (diluted and fully diluted), stock price, dividends, shares repurchased, total return to shareholders, debt coverage ratios, return on assets, return on equity, return on invested capital, and economic profit (for example, economic value added); (g) customer and market measure elements, including dealer/channel size/scope, dealer/channel performance/effectiveness, order fill rate, customer satisfaction, customer service/care, brand awareness and perception, market share, warranty rates, product quality, and channel inventory; and (h) organizational and employee measure elements, including headcount, employee performance, employee productivity, standard hours, employee engagement/satisfaction, employee turnover, and employee diversity.</w:t>
      </w:r>
    </w:p>
    <w:p>
      <w:pPr>
        <w:spacing w:after="0" w:line="221" w:lineRule="exact"/>
        <w:rPr>
          <w:sz w:val="20"/>
          <w:szCs w:val="20"/>
          <w:color w:val="auto"/>
        </w:rPr>
      </w:pPr>
    </w:p>
    <w:p>
      <w:pPr>
        <w:ind w:right="120" w:firstLine="381"/>
        <w:spacing w:after="0" w:line="236" w:lineRule="auto"/>
        <w:rPr>
          <w:sz w:val="20"/>
          <w:szCs w:val="20"/>
          <w:color w:val="auto"/>
        </w:rPr>
      </w:pPr>
      <w:r>
        <w:rPr>
          <w:rFonts w:ascii="Arial" w:cs="Arial" w:eastAsia="Arial" w:hAnsi="Arial"/>
          <w:sz w:val="18"/>
          <w:szCs w:val="18"/>
          <w:color w:val="auto"/>
        </w:rPr>
        <w:t>Any of the above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of the performance measures specified in the 2010 Plan may be used to measure the performance of the Company or any affiliate and/or subsidiary, as a whole, or any division or business unit, product or product group, region or territory, affiliate or subsidiary, or any combination thereof, as the committee deems appropriate. Performance measures may be compared to the performance of a group of comparator companies or a published or special index that the committee deems appropriate or, with respect to share price, various stock market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indices. The committee also may provide for accelerated vesting of any award based on the achievement of performance goals.</w:t>
      </w:r>
    </w:p>
    <w:p>
      <w:pPr>
        <w:spacing w:after="0" w:line="212" w:lineRule="exact"/>
        <w:rPr>
          <w:sz w:val="20"/>
          <w:szCs w:val="20"/>
          <w:color w:val="auto"/>
        </w:rPr>
      </w:pPr>
    </w:p>
    <w:p>
      <w:pPr>
        <w:ind w:right="80" w:firstLine="381"/>
        <w:spacing w:after="0" w:line="236" w:lineRule="auto"/>
        <w:rPr>
          <w:sz w:val="20"/>
          <w:szCs w:val="20"/>
          <w:color w:val="auto"/>
        </w:rPr>
      </w:pPr>
      <w:r>
        <w:rPr>
          <w:rFonts w:ascii="Arial" w:cs="Arial" w:eastAsia="Arial" w:hAnsi="Arial"/>
          <w:sz w:val="18"/>
          <w:szCs w:val="18"/>
          <w:color w:val="auto"/>
        </w:rPr>
        <w:t>Any award that is intended to qualify as performance-based compensation under Section 162(m) of the Code will be granted, and performance goals for such an award will be established, by the committee in writing not later than 90 days after the commencement of the performance period to which the performance goals relate, or such other period required under Section 162(m) of the Code;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 Before any payment is made in connection with any award intended to qualify as performance-based compensation under Section 162(m) of the Code, the committee must certify in writing that the performance goals established with respect to such award have been achieved.</w:t>
      </w:r>
    </w:p>
    <w:p>
      <w:pPr>
        <w:spacing w:after="0" w:line="208" w:lineRule="exact"/>
        <w:rPr>
          <w:sz w:val="20"/>
          <w:szCs w:val="20"/>
          <w:color w:val="auto"/>
        </w:rPr>
      </w:pPr>
    </w:p>
    <w:p>
      <w:pPr>
        <w:ind w:firstLine="387"/>
        <w:spacing w:after="0" w:line="235" w:lineRule="auto"/>
        <w:rPr>
          <w:sz w:val="20"/>
          <w:szCs w:val="20"/>
          <w:color w:val="auto"/>
        </w:rPr>
      </w:pPr>
      <w:r>
        <w:rPr>
          <w:rFonts w:ascii="Arial" w:cs="Arial" w:eastAsia="Arial" w:hAnsi="Arial"/>
          <w:sz w:val="18"/>
          <w:szCs w:val="18"/>
          <w:color w:val="auto"/>
        </w:rPr>
        <w:t>The committee may provide in any such award including performance goals that any evaluation of performance may include or exclude any of the following events that occur during a performance period: items relating to a change in accounting principles; items relating to financing activities; expenses for restructuring or productivity initiatives; other non-operating items; items relating to acquisitions; items attributable to the business operations of any entity acquired by the Company during the performance period; items relating to the disposal of a business or segment of a business; items relating to discontinued operations that do not qualify as a segment of a business under applicable accounting standards; items attributable to any stock dividend, stock split, combination or exchange of stock occurring during the performance period; any other items of significant income or expense which are determined to be appropriate adjustments; items relating to unusual or extraordinary corporate transactions, events or developments, items relating to amortization of acquired intangible assets; items that are outside the scope of the Company's core, on-going business activities; items relating to acquired in-process research and development; items relating to changes in tax laws; items relating to major licensing or partnership arrangements; items relating to asset impairment charges; items relating to gains or losses for litigation, arbitration and contractual settlements; foreign exchange gains and losses; or items relating to any other unusual or nonrecurring events or changes in applicable laws, accounting principles or business conditions.</w:t>
      </w:r>
    </w:p>
    <w:p>
      <w:pPr>
        <w:spacing w:after="0" w:line="215" w:lineRule="exact"/>
        <w:rPr>
          <w:sz w:val="20"/>
          <w:szCs w:val="20"/>
          <w:color w:val="auto"/>
        </w:rPr>
      </w:pPr>
    </w:p>
    <w:p>
      <w:pPr>
        <w:ind w:right="80" w:firstLine="387"/>
        <w:spacing w:after="0" w:line="237" w:lineRule="auto"/>
        <w:rPr>
          <w:sz w:val="20"/>
          <w:szCs w:val="20"/>
          <w:color w:val="auto"/>
        </w:rPr>
      </w:pPr>
      <w:r>
        <w:rPr>
          <w:rFonts w:ascii="Arial" w:cs="Arial" w:eastAsia="Arial" w:hAnsi="Arial"/>
          <w:sz w:val="18"/>
          <w:szCs w:val="18"/>
          <w:color w:val="auto"/>
        </w:rPr>
        <w:t>The committee may adjust the amount payable pursuant to an award under the 2010 Plan that is intended to qualify as "performance-based compensation" under Section 162(m) of the Code downwards but not upwards. In the event that applicable tax or securities laws change to permit committee discretion to alter the governing performance measures without obtaining shareholder approval of such changes, the committee will have sole discretion to make such changes without obtaining shareholder approval.</w:t>
      </w:r>
    </w:p>
    <w:p>
      <w:pPr>
        <w:spacing w:after="0" w:line="187" w:lineRule="exact"/>
        <w:rPr>
          <w:sz w:val="20"/>
          <w:szCs w:val="20"/>
          <w:color w:val="auto"/>
        </w:rPr>
      </w:pPr>
    </w:p>
    <w:p>
      <w:pPr>
        <w:ind w:right="80" w:firstLine="391"/>
        <w:spacing w:after="0" w:line="244" w:lineRule="auto"/>
        <w:rPr>
          <w:sz w:val="20"/>
          <w:szCs w:val="20"/>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With the exception of stock options, SARs and unvested performance awards, awards under the 2010 Plan may,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committee's discretion, earn dividend equivalents with respect to the cash or stock dividends or other distributions that would have been paid on the shares of our common stock covered by such award had such shares been issued and outstanding on the dividend payment date. Such dividend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equivalents will be converted to cash or additional shares of our common stock by such formula and at such time and subject to such limitations as determined by the committee.</w:t>
      </w:r>
    </w:p>
    <w:p>
      <w:pPr>
        <w:spacing w:after="0" w:line="187" w:lineRule="exact"/>
        <w:rPr>
          <w:sz w:val="20"/>
          <w:szCs w:val="20"/>
          <w:color w:val="auto"/>
        </w:rPr>
      </w:pPr>
    </w:p>
    <w:p>
      <w:pPr>
        <w:ind w:firstLine="391"/>
        <w:spacing w:after="0" w:line="237" w:lineRule="auto"/>
        <w:rPr>
          <w:sz w:val="20"/>
          <w:szCs w:val="20"/>
          <w:color w:val="auto"/>
        </w:rPr>
      </w:pPr>
      <w:r>
        <w:rPr>
          <w:rFonts w:ascii="Arial" w:cs="Arial" w:eastAsia="Arial" w:hAnsi="Arial"/>
          <w:sz w:val="18"/>
          <w:szCs w:val="18"/>
          <w:b w:val="1"/>
          <w:bCs w:val="1"/>
          <w:color w:val="auto"/>
        </w:rPr>
        <w:t xml:space="preserve">Effect of Change of Control. </w:t>
      </w:r>
      <w:r>
        <w:rPr>
          <w:rFonts w:ascii="Arial" w:cs="Arial" w:eastAsia="Arial" w:hAnsi="Arial"/>
          <w:sz w:val="18"/>
          <w:szCs w:val="18"/>
          <w:color w:val="auto"/>
        </w:rPr>
        <w:t>Unless otherwise determined by the committee or the Board in writing at or after the making of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2010 Plan, but prior to a change of control of the Company, upon a change of control (as defined in the 2010 Plan): (a) all stock options, including non-employee director options, and SARs granted under the plan will become immediately exercisable and will remain exercisable throughout their entire term; (b) all restrictions and vesting requirements applicable to any award based solely on the continued service of a participant will terminate; and (c) all awards the vesting or payment of which are based on performance goals will vest as though such performance goals were fully achieved and will become immediately payable. The treatment of any other awards in the event of a change of control will be as determined by the committee in connection with the grant thereof, as reflected in the applicable award agreement. The committee is given the power under the 2010 Plan alternatively to provide that upon a change in control any or all outstanding stock-based awards will be canceled and terminated and the holders will receive a payment of cash or stock equal to the difference, if any, between the consideration received by our shareholders in respect of a share of common stock in connection with the change of control and the purchase price per share, if any, under the award, multiplied by the number of shares subject to such award, provided that if such product is zero or less, or the award is not then exercisable, the award may be canceled and terminated without payment for such award.</w:t>
      </w:r>
    </w:p>
    <w:p>
      <w:pPr>
        <w:spacing w:after="0" w:line="216" w:lineRule="exact"/>
        <w:rPr>
          <w:sz w:val="20"/>
          <w:szCs w:val="20"/>
          <w:color w:val="auto"/>
        </w:rPr>
      </w:pPr>
    </w:p>
    <w:p>
      <w:pPr>
        <w:ind w:right="160" w:firstLine="391"/>
        <w:spacing w:after="0" w:line="236" w:lineRule="auto"/>
        <w:rPr>
          <w:sz w:val="20"/>
          <w:szCs w:val="20"/>
          <w:color w:val="auto"/>
        </w:rPr>
      </w:pPr>
      <w:r>
        <w:rPr>
          <w:rFonts w:ascii="Arial" w:cs="Arial" w:eastAsia="Arial" w:hAnsi="Arial"/>
          <w:sz w:val="18"/>
          <w:szCs w:val="18"/>
          <w:color w:val="auto"/>
        </w:rPr>
        <w:t>Generally, and subject to some exceptions, a change of control is deemed to have occurred if: (a) another person becomes the beneficial owner of at least 20%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187" w:lineRule="exact"/>
        <w:rPr>
          <w:sz w:val="20"/>
          <w:szCs w:val="20"/>
          <w:color w:val="auto"/>
        </w:rPr>
      </w:pPr>
    </w:p>
    <w:p>
      <w:pPr>
        <w:ind w:right="180" w:firstLine="391"/>
        <w:spacing w:after="0" w:line="242" w:lineRule="auto"/>
        <w:rPr>
          <w:sz w:val="20"/>
          <w:szCs w:val="20"/>
          <w:color w:val="auto"/>
        </w:rPr>
      </w:pPr>
      <w:r>
        <w:rPr>
          <w:rFonts w:ascii="Arial" w:cs="Arial" w:eastAsia="Arial" w:hAnsi="Arial"/>
          <w:sz w:val="18"/>
          <w:szCs w:val="18"/>
          <w:b w:val="1"/>
          <w:bCs w:val="1"/>
          <w:color w:val="auto"/>
        </w:rPr>
        <w:t xml:space="preserve">No Repricing or Exchange. </w:t>
      </w:r>
      <w:r>
        <w:rPr>
          <w:rFonts w:ascii="Arial" w:cs="Arial" w:eastAsia="Arial" w:hAnsi="Arial"/>
          <w:sz w:val="18"/>
          <w:szCs w:val="18"/>
          <w:color w:val="auto"/>
        </w:rPr>
        <w:t>The terms of an outstanding award may not be amended to reduce the exercise price of outstanding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or to reduce the grant price of outstanding SARs or cancel outstanding options or SARs in exchange for cash, other awards or options or SARs with an exercise price or grant price, as applicable, that is less than the exercise price of the canceled options or the grant price of the canceled SARs without shareholder approval, except for any adjustments required in connection with certain corporate transactions and other actions as described above under the heading "—Adjustments".</w:t>
      </w:r>
    </w:p>
    <w:p>
      <w:pPr>
        <w:spacing w:after="0" w:line="185" w:lineRule="exact"/>
        <w:rPr>
          <w:sz w:val="20"/>
          <w:szCs w:val="20"/>
          <w:color w:val="auto"/>
        </w:rPr>
      </w:pPr>
    </w:p>
    <w:p>
      <w:pPr>
        <w:ind w:right="100" w:firstLine="391"/>
        <w:spacing w:after="0" w:line="244" w:lineRule="auto"/>
        <w:rPr>
          <w:sz w:val="20"/>
          <w:szCs w:val="20"/>
          <w:color w:val="auto"/>
        </w:rPr>
      </w:pPr>
      <w:r>
        <w:rPr>
          <w:rFonts w:ascii="Arial" w:cs="Arial" w:eastAsia="Arial" w:hAnsi="Arial"/>
          <w:sz w:val="18"/>
          <w:szCs w:val="18"/>
          <w:b w:val="1"/>
          <w:bCs w:val="1"/>
          <w:color w:val="auto"/>
        </w:rPr>
        <w:t xml:space="preserve">No Waiver, Lapse or Acceleration of Exercisability or Vesting. </w:t>
      </w:r>
      <w:r>
        <w:rPr>
          <w:rFonts w:ascii="Arial" w:cs="Arial" w:eastAsia="Arial" w:hAnsi="Arial"/>
          <w:sz w:val="18"/>
          <w:szCs w:val="18"/>
          <w:color w:val="auto"/>
        </w:rPr>
        <w:t>The committee does not have the authority to waive, lapse or accelerate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exercisability or vesting of any award held by an employee, except (a) in connection with the death, disability or retirement of the participant or a change in control of our Company or (b) to the extent that the aggregate number of shares of our common stock covered by all such waived, lapsed 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accelerated awards do not exceed 5% of the total number of shares authorized for awards under the 2010 Plan.</w:t>
      </w:r>
    </w:p>
    <w:p>
      <w:pPr>
        <w:spacing w:after="0" w:line="190" w:lineRule="exact"/>
        <w:rPr>
          <w:sz w:val="20"/>
          <w:szCs w:val="20"/>
          <w:color w:val="auto"/>
        </w:rPr>
      </w:pPr>
    </w:p>
    <w:p>
      <w:pPr>
        <w:ind w:right="20" w:firstLine="391"/>
        <w:spacing w:after="0" w:line="269" w:lineRule="auto"/>
        <w:rPr>
          <w:sz w:val="20"/>
          <w:szCs w:val="20"/>
          <w:color w:val="auto"/>
        </w:rPr>
      </w:pPr>
      <w:r>
        <w:rPr>
          <w:rFonts w:ascii="Arial" w:cs="Arial" w:eastAsia="Arial" w:hAnsi="Arial"/>
          <w:sz w:val="16"/>
          <w:szCs w:val="16"/>
          <w:b w:val="1"/>
          <w:bCs w:val="1"/>
          <w:color w:val="auto"/>
        </w:rPr>
        <w:t xml:space="preserve">Term, Termination and Amendment. </w:t>
      </w:r>
      <w:r>
        <w:rPr>
          <w:rFonts w:ascii="Arial" w:cs="Arial" w:eastAsia="Arial" w:hAnsi="Arial"/>
          <w:sz w:val="16"/>
          <w:szCs w:val="16"/>
          <w:color w:val="auto"/>
        </w:rPr>
        <w:t>Subject to certain exceptions, the Board has the authority to terminate and the committee has the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amend the 2010 Plan or any outstanding award agreement at any time and from time to time provided that any amendment to the 2010 Plan will not become effective without shareholder approval (a) to increase the maximum number of shares of our common stock which may be issued pursuant to the 2010 Plan, (b) to increase any limitation set forth in the 2010 Plan on the number of shares of our common stock which may be issued, or the aggregate value of award which may be made, in respect of any type of award to any single participant during any specified period, (c) to change the class of individuals eligible to participate in the 2010 Plan, (d) to reduce the minimum exercise price of any option or SAR,</w:t>
      </w:r>
    </w:p>
    <w:p>
      <w:pPr>
        <w:ind w:right="200" w:firstLine="8"/>
        <w:spacing w:after="0" w:line="236" w:lineRule="auto"/>
        <w:tabs>
          <w:tab w:leader="none" w:pos="26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reduce or waive the minimum vesting period, period of restriction or performance period of any award held by an employee, or (f) if such approval is otherwise required to comply with applicable laws, rules or regulations. No termination or amendment of the 2010 Plan or an award agreement shall adversely affect in any material way any award previously granted under the 2010 Plan without the written consent of the participant holding such award. Unless sooner terminated by the Board, the 2010 Plan will terminate 10 years from the date it is approved by our shareholders.</w:t>
      </w:r>
    </w:p>
    <w:p>
      <w:pPr>
        <w:spacing w:after="0" w:line="189"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18"/>
          <w:szCs w:val="18"/>
          <w:b w:val="1"/>
          <w:bCs w:val="1"/>
          <w:color w:val="auto"/>
        </w:rPr>
        <w:t>Plan Benefits.</w:t>
      </w:r>
      <w:r>
        <w:rPr>
          <w:sz w:val="20"/>
          <w:szCs w:val="20"/>
          <w:color w:val="auto"/>
        </w:rPr>
        <w:tab/>
      </w:r>
      <w:r>
        <w:rPr>
          <w:rFonts w:ascii="Arial" w:cs="Arial" w:eastAsia="Arial" w:hAnsi="Arial"/>
          <w:sz w:val="16"/>
          <w:szCs w:val="16"/>
          <w:color w:val="auto"/>
        </w:rPr>
        <w:t>It presently is not possible to determine the benefits or amounts that will be received by or allocated to participants under the</w:t>
      </w:r>
    </w:p>
    <w:p>
      <w:pPr>
        <w:spacing w:after="0" w:line="1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2010 Plan or would have been received by or allocated to participants for the last completed fiscal year if the 2010 Plan then had been in effect because awards under the 2010 Plan will be made at the discretion of the committee.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Information</w:t>
      </w:r>
    </w:p>
    <w:p>
      <w:pPr>
        <w:spacing w:after="0" w:line="234" w:lineRule="exact"/>
        <w:rPr>
          <w:sz w:val="20"/>
          <w:szCs w:val="20"/>
          <w:color w:val="auto"/>
        </w:rPr>
      </w:pPr>
    </w:p>
    <w:p>
      <w:pPr>
        <w:ind w:right="120" w:firstLine="387"/>
        <w:spacing w:after="0" w:line="236" w:lineRule="auto"/>
        <w:rPr>
          <w:sz w:val="20"/>
          <w:szCs w:val="20"/>
          <w:color w:val="auto"/>
        </w:rPr>
      </w:pPr>
      <w:r>
        <w:rPr>
          <w:rFonts w:ascii="Arial" w:cs="Arial" w:eastAsia="Arial" w:hAnsi="Arial"/>
          <w:sz w:val="18"/>
          <w:szCs w:val="18"/>
          <w:color w:val="auto"/>
        </w:rPr>
        <w:t>The following is a general summary, as of the date of this proxy statement, of the federal income tax consequences to participants and the Company of grants under the 2010 Plan. This summary is intended for the information of shareholders considering how to vote at the annual meeting and not as tax guidance to participants in the 2010 Plan, as the consequences may vary with the types of grants made, the identity of the participant and the method of payment or settlement. The summary does not address the effects of other federal taxes or taxes imposed under state, local or foreign tax laws. Each participant shall be encouraged to seek the advice of a qualified tax advisor regarding the tax consequences of participation in the 2010 Plan.</w:t>
      </w:r>
    </w:p>
    <w:p>
      <w:pPr>
        <w:spacing w:after="0" w:line="188" w:lineRule="exact"/>
        <w:rPr>
          <w:sz w:val="20"/>
          <w:szCs w:val="20"/>
          <w:color w:val="auto"/>
        </w:rPr>
      </w:pPr>
    </w:p>
    <w:p>
      <w:pPr>
        <w:ind w:firstLine="391"/>
        <w:spacing w:after="0" w:line="239" w:lineRule="auto"/>
        <w:rPr>
          <w:sz w:val="20"/>
          <w:szCs w:val="20"/>
          <w:color w:val="auto"/>
        </w:rPr>
      </w:pPr>
      <w:r>
        <w:rPr>
          <w:rFonts w:ascii="Arial" w:cs="Arial" w:eastAsia="Arial" w:hAnsi="Arial"/>
          <w:sz w:val="18"/>
          <w:szCs w:val="18"/>
          <w:b w:val="1"/>
          <w:bCs w:val="1"/>
          <w:color w:val="auto"/>
        </w:rPr>
        <w:t xml:space="preserve">Incentive Stock Options. </w:t>
      </w:r>
      <w:r>
        <w:rPr>
          <w:rFonts w:ascii="Arial" w:cs="Arial" w:eastAsia="Arial" w:hAnsi="Arial"/>
          <w:sz w:val="18"/>
          <w:szCs w:val="18"/>
          <w:color w:val="auto"/>
        </w:rPr>
        <w:t>With respect to incentive stock options, generally the stock option holder is not taxed, and we are not entitled to 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 on either the grant or the exercise of an incentive stock option so long as the requirements of Section 422 of the Code continue to be met. If the stock option holder meets the employment requirements and does not dispose of the shares of our common stock acquired upon exercise of an incentive stock option until at least one year after date of the exercise of the stock option and at least two years after the date the stock option was granted, gain or loss realized on sale of the shares will be treated as long-term capital gain or loss. If the shares of our common stock are disposed of before those periods expire, which is called a disqualifying disposition, the stock option holder will be required to recognize ordinary income in an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amount equal to the lesser of (a) the excess, if any, of the fair market value of our common stock on the date of exercise over the exercise price, or</w:t>
      </w:r>
    </w:p>
    <w:p>
      <w:pPr>
        <w:spacing w:after="0" w:line="19" w:lineRule="exact"/>
        <w:rPr>
          <w:sz w:val="20"/>
          <w:szCs w:val="20"/>
          <w:color w:val="auto"/>
        </w:rPr>
      </w:pPr>
    </w:p>
    <w:p>
      <w:pPr>
        <w:ind w:right="20" w:firstLine="8"/>
        <w:spacing w:after="0" w:line="239" w:lineRule="auto"/>
        <w:tabs>
          <w:tab w:leader="none" w:pos="2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disposition is a taxable sale or exchange, the amount of gain realized. Upon a disqualifying disposition, we will generally be entitled, in the same tax year, to a deduction equal to the amount of ordinary income recognized by the stock option holder.</w:t>
      </w:r>
    </w:p>
    <w:p>
      <w:pPr>
        <w:spacing w:after="0" w:line="187" w:lineRule="exact"/>
        <w:rPr>
          <w:sz w:val="20"/>
          <w:szCs w:val="20"/>
          <w:color w:val="auto"/>
        </w:rPr>
      </w:pPr>
    </w:p>
    <w:p>
      <w:pPr>
        <w:ind w:right="20" w:firstLine="391"/>
        <w:spacing w:after="0" w:line="277"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The grant of a stock option that does not qualify for treatment as an incentive stock option, or a nonqualified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is generally not a taxable event for the stock option holder. Upon exercise of the stock option, the stock option holder generally will be required to recognize ordinary income in an amount equal to the excess of the fair market value of our common stock acquired upon exercise (determined as of the date of exercise) over the exercise price of the stock option, and we will be entitled to a deduction in an equal amount in the same tax year. At the time of a subsequent sale or disposition of shares obtained upon exercise of a nonqualified stock option, any gain or loss will be a capital gain or loss, which will be either a long-term or short-term capital gain or loss, depending on how long the shares have been held.</w:t>
      </w:r>
    </w:p>
    <w:p>
      <w:pPr>
        <w:spacing w:after="0" w:line="157" w:lineRule="exact"/>
        <w:rPr>
          <w:sz w:val="20"/>
          <w:szCs w:val="20"/>
          <w:color w:val="auto"/>
        </w:rPr>
      </w:pPr>
    </w:p>
    <w:p>
      <w:pPr>
        <w:ind w:right="120" w:firstLine="391"/>
        <w:spacing w:after="0" w:line="244" w:lineRule="auto"/>
        <w:rPr>
          <w:sz w:val="20"/>
          <w:szCs w:val="20"/>
          <w:color w:val="auto"/>
        </w:rPr>
      </w:pPr>
      <w:r>
        <w:rPr>
          <w:rFonts w:ascii="Arial" w:cs="Arial" w:eastAsia="Arial" w:hAnsi="Arial"/>
          <w:sz w:val="18"/>
          <w:szCs w:val="18"/>
          <w:b w:val="1"/>
          <w:bCs w:val="1"/>
          <w:color w:val="auto"/>
        </w:rPr>
        <w:t xml:space="preserve">SARs. </w:t>
      </w:r>
      <w:r>
        <w:rPr>
          <w:rFonts w:ascii="Arial" w:cs="Arial" w:eastAsia="Arial" w:hAnsi="Arial"/>
          <w:sz w:val="18"/>
          <w:szCs w:val="18"/>
          <w:color w:val="auto"/>
        </w:rPr>
        <w:t>The grant of a SAR will not cause the participant to recognize ordinary income or entitle us to a deduction for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Upon the exercise of a SAR, the participant will recognize ordinary income in the amount of the cash or value of shares of our common stock payable to the participant (before reduction for any withholding taxes), and we will receive a corresponding deduction in an amount equal to the ordinary income recognized by the participant, assuming that a deduction is allowed under Section 162(m) of the Code.</w:t>
      </w:r>
    </w:p>
    <w:p>
      <w:pPr>
        <w:spacing w:after="0" w:line="185" w:lineRule="exact"/>
        <w:rPr>
          <w:sz w:val="20"/>
          <w:szCs w:val="20"/>
          <w:color w:val="auto"/>
        </w:rPr>
      </w:pPr>
    </w:p>
    <w:p>
      <w:pPr>
        <w:ind w:firstLine="391"/>
        <w:spacing w:after="0" w:line="237" w:lineRule="auto"/>
        <w:rPr>
          <w:sz w:val="20"/>
          <w:szCs w:val="20"/>
          <w:color w:val="auto"/>
        </w:rPr>
      </w:pPr>
      <w:r>
        <w:rPr>
          <w:rFonts w:ascii="Arial" w:cs="Arial" w:eastAsia="Arial" w:hAnsi="Arial"/>
          <w:sz w:val="18"/>
          <w:szCs w:val="18"/>
          <w:b w:val="1"/>
          <w:bCs w:val="1"/>
          <w:color w:val="auto"/>
        </w:rPr>
        <w:t xml:space="preserve">Stock, Stock Unit and Other Stock-Based Awards. </w:t>
      </w:r>
      <w:r>
        <w:rPr>
          <w:rFonts w:ascii="Arial" w:cs="Arial" w:eastAsia="Arial" w:hAnsi="Arial"/>
          <w:sz w:val="18"/>
          <w:szCs w:val="18"/>
          <w:color w:val="auto"/>
        </w:rPr>
        <w:t>The federal income tax consequences with respect to restricted stock,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performance shares and performance stock units, and other stock unit and stock-based awards depend on the facts and circumstances of each award, including, in particular, the nature of any restrictions imposed with respect to the awards. In general, if the awards that are granted to the participant are subject to a "substantial risk of forfeiture" (e.g., the awards are conditioned upon the future performance of substantial services by the participant) and are nontransferable, a taxable event occurs when the risk of forfeiture ceases or the awards become transferable, whichever first occurs. At such time, the participant will recognize ordinary income to the extent of the excess of the fair market value of the awards on such date over the participant's cost for such awards (if any), and the same amount is deductible by us, assuming that a deduction is allowed under Section 162(m) of the Code. Under certain circumstances, the participant, by making an election under Section 83(b) of the Code, can accelerate federal income tax recognition with respect to awards that are subject to a substantial risk of forfeiture and transferability restrictions, in which event the ordinary income amount and our deduction will be measured and timed as of the grant date of the awards. If the awards granted to the participant are not subject to a substantial risk of forfeiture or transferability restrictions, the participant will recognize ordinary income with respect to the awards to the extent of the excess of the fair market value of the awards at the time of grant over the participant's cost, if any, and the same amount is deductible by us, assuming that a deduction is allowed under Section 162(m) of the Code. If a stock or stock unit award is granted but no stock is actually issued to the participant at the time the award is granted, the participant will recognize ordinary income at the time the participant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receives stock free of any substantial risk of forfeiture and the amount of such income will be equal to the fair market value of the stock at such time over the participant's cost, if any, and the same amount is then deductible by us.</w:t>
      </w:r>
    </w:p>
    <w:p>
      <w:pPr>
        <w:spacing w:after="0" w:line="187" w:lineRule="exact"/>
        <w:rPr>
          <w:sz w:val="20"/>
          <w:szCs w:val="20"/>
          <w:color w:val="auto"/>
        </w:rPr>
      </w:pPr>
    </w:p>
    <w:p>
      <w:pPr>
        <w:jc w:val="both"/>
        <w:ind w:right="60" w:firstLine="384"/>
        <w:spacing w:after="0" w:line="244" w:lineRule="auto"/>
        <w:rPr>
          <w:sz w:val="20"/>
          <w:szCs w:val="20"/>
          <w:color w:val="auto"/>
        </w:rPr>
      </w:pPr>
      <w:r>
        <w:rPr>
          <w:rFonts w:ascii="Arial" w:cs="Arial" w:eastAsia="Arial" w:hAnsi="Arial"/>
          <w:sz w:val="18"/>
          <w:szCs w:val="18"/>
          <w:b w:val="1"/>
          <w:bCs w:val="1"/>
          <w:color w:val="auto"/>
        </w:rPr>
        <w:t xml:space="preserve">Annual Performance Awards and Other Cash-Based Awards. </w:t>
      </w:r>
      <w:r>
        <w:rPr>
          <w:rFonts w:ascii="Arial" w:cs="Arial" w:eastAsia="Arial" w:hAnsi="Arial"/>
          <w:sz w:val="18"/>
          <w:szCs w:val="18"/>
          <w:color w:val="auto"/>
        </w:rPr>
        <w:t>Annual performance awards and other cash-based awards will be taxable</w:t>
      </w:r>
      <w:r>
        <w:rPr>
          <w:rFonts w:ascii="Arial" w:cs="Arial" w:eastAsia="Arial" w:hAnsi="Arial"/>
          <w:sz w:val="18"/>
          <w:szCs w:val="18"/>
          <w:b w:val="1"/>
          <w:bCs w:val="1"/>
          <w:color w:val="auto"/>
        </w:rPr>
        <w:t xml:space="preserve"> </w:t>
      </w:r>
      <w:r>
        <w:rPr>
          <w:rFonts w:ascii="Arial" w:cs="Arial" w:eastAsia="Arial" w:hAnsi="Arial"/>
          <w:sz w:val="18"/>
          <w:szCs w:val="18"/>
          <w:color w:val="auto"/>
        </w:rPr>
        <w:t>as ordinary income to the participant in the amount of the cash received by the participant (before reduction for any withholding taxes), and we will receive a corresponding deduction in an amount equal to the ordinary income recognized by the participant, assuming that a deduction is allowed under Section 162(m) of the Code.</w:t>
      </w:r>
    </w:p>
    <w:p>
      <w:pPr>
        <w:spacing w:after="0" w:line="185" w:lineRule="exact"/>
        <w:rPr>
          <w:sz w:val="20"/>
          <w:szCs w:val="20"/>
          <w:color w:val="auto"/>
        </w:rPr>
      </w:pPr>
    </w:p>
    <w:p>
      <w:pPr>
        <w:ind w:right="180" w:firstLine="391"/>
        <w:spacing w:after="0"/>
        <w:rPr>
          <w:sz w:val="20"/>
          <w:szCs w:val="20"/>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We have the right to require the recipient to pay to us an amount necessary for us to satisfy the recipient's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or local tax withholding obligations with respect to awards granted under the 2010 Plan. As permitted by applicable law, we may withhold from other amounts payable to a recipient an amount necessary to satisfy these obligations, and the committee may permit a participant to satisfy our withholding obligation with respect to awards paid in common stock by having shares withheld, at the time the awards become taxable, provided that the number of shares of our common stock withheld does not exceed the individual's minimum applicable withholding tax rate for federal, state and local tax liabilities.</w:t>
      </w:r>
    </w:p>
    <w:p>
      <w:pPr>
        <w:spacing w:after="0" w:line="190" w:lineRule="exact"/>
        <w:rPr>
          <w:sz w:val="20"/>
          <w:szCs w:val="20"/>
          <w:color w:val="auto"/>
        </w:rPr>
      </w:pPr>
    </w:p>
    <w:p>
      <w:pPr>
        <w:jc w:val="both"/>
        <w:ind w:firstLine="391"/>
        <w:spacing w:after="0" w:line="249" w:lineRule="auto"/>
        <w:rPr>
          <w:sz w:val="20"/>
          <w:szCs w:val="20"/>
          <w:color w:val="auto"/>
        </w:rPr>
      </w:pPr>
      <w:r>
        <w:rPr>
          <w:rFonts w:ascii="Arial" w:cs="Arial" w:eastAsia="Arial" w:hAnsi="Arial"/>
          <w:sz w:val="18"/>
          <w:szCs w:val="18"/>
          <w:b w:val="1"/>
          <w:bCs w:val="1"/>
          <w:color w:val="auto"/>
        </w:rPr>
        <w:t xml:space="preserve">Code Section 409A. </w:t>
      </w:r>
      <w:r>
        <w:rPr>
          <w:rFonts w:ascii="Arial" w:cs="Arial" w:eastAsia="Arial" w:hAnsi="Arial"/>
          <w:sz w:val="18"/>
          <w:szCs w:val="18"/>
          <w:color w:val="auto"/>
        </w:rPr>
        <w:t>A grant may be subject to a 20% penalty tax, in addition to ordinary income tax, at the time the grant becomes vested,</w:t>
      </w:r>
      <w:r>
        <w:rPr>
          <w:rFonts w:ascii="Arial" w:cs="Arial" w:eastAsia="Arial" w:hAnsi="Arial"/>
          <w:sz w:val="18"/>
          <w:szCs w:val="18"/>
          <w:b w:val="1"/>
          <w:bCs w:val="1"/>
          <w:color w:val="auto"/>
        </w:rPr>
        <w:t xml:space="preserve"> </w:t>
      </w:r>
      <w:r>
        <w:rPr>
          <w:rFonts w:ascii="Arial" w:cs="Arial" w:eastAsia="Arial" w:hAnsi="Arial"/>
          <w:sz w:val="18"/>
          <w:szCs w:val="18"/>
          <w:color w:val="auto"/>
        </w:rPr>
        <w:t>plus interest, if the grant constitutes deferred compensation under Section 409A of the Code and the requirements of Section 409A of the Code are not satisfied.</w:t>
      </w:r>
    </w:p>
    <w:p>
      <w:pPr>
        <w:spacing w:after="0" w:line="180" w:lineRule="exact"/>
        <w:rPr>
          <w:sz w:val="20"/>
          <w:szCs w:val="20"/>
          <w:color w:val="auto"/>
        </w:rPr>
      </w:pPr>
    </w:p>
    <w:p>
      <w:pPr>
        <w:ind w:firstLine="391"/>
        <w:spacing w:after="0" w:line="242" w:lineRule="auto"/>
        <w:rPr>
          <w:sz w:val="20"/>
          <w:szCs w:val="20"/>
          <w:color w:val="auto"/>
        </w:rPr>
      </w:pPr>
      <w:r>
        <w:rPr>
          <w:rFonts w:ascii="Arial" w:cs="Arial" w:eastAsia="Arial" w:hAnsi="Arial"/>
          <w:sz w:val="18"/>
          <w:szCs w:val="18"/>
          <w:b w:val="1"/>
          <w:bCs w:val="1"/>
          <w:color w:val="auto"/>
        </w:rPr>
        <w:t xml:space="preserve">Code Section 162(m). </w:t>
      </w:r>
      <w:r>
        <w:rPr>
          <w:rFonts w:ascii="Arial" w:cs="Arial" w:eastAsia="Arial" w:hAnsi="Arial"/>
          <w:sz w:val="18"/>
          <w:szCs w:val="18"/>
          <w:color w:val="auto"/>
        </w:rPr>
        <w:t>Pursuant to Section 162(m) of the Code, the annual compensation paid to an individual, who on the last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taxable year was the Chief Executive Officer or otherwise covered by this provision because his or her compensation was reported in the Summary Compensation Table, may not be deductible to the extent that it exceeds $1 million unless the compensation qualifies as "performance-based" under Section 162(m) of the Code. The 2010 Plan has been designed to permit the committee to grant awards that qualify as "performance-based" for purposes of satisfying the conditions of Section 162(m) of the Code.</w:t>
      </w:r>
    </w:p>
    <w:p>
      <w:pPr>
        <w:spacing w:after="0" w:line="185" w:lineRule="exact"/>
        <w:rPr>
          <w:sz w:val="20"/>
          <w:szCs w:val="20"/>
          <w:color w:val="auto"/>
        </w:rPr>
      </w:pPr>
    </w:p>
    <w:p>
      <w:pPr>
        <w:ind w:right="80" w:firstLine="391"/>
        <w:spacing w:after="0" w:line="269" w:lineRule="auto"/>
        <w:rPr>
          <w:sz w:val="20"/>
          <w:szCs w:val="20"/>
          <w:color w:val="auto"/>
        </w:rPr>
      </w:pPr>
      <w:r>
        <w:rPr>
          <w:rFonts w:ascii="Arial" w:cs="Arial" w:eastAsia="Arial" w:hAnsi="Arial"/>
          <w:sz w:val="16"/>
          <w:szCs w:val="16"/>
          <w:b w:val="1"/>
          <w:bCs w:val="1"/>
          <w:color w:val="auto"/>
        </w:rPr>
        <w:t xml:space="preserve">Excise Tax on Parachute Payments. </w:t>
      </w:r>
      <w:r>
        <w:rPr>
          <w:rFonts w:ascii="Arial" w:cs="Arial" w:eastAsia="Arial" w:hAnsi="Arial"/>
          <w:sz w:val="16"/>
          <w:szCs w:val="16"/>
          <w:color w:val="auto"/>
        </w:rPr>
        <w:t>Unless otherwise provided in a separate agreement between a participant and the Company, if,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participant, the acceleration of the vesting of an award or the payment of cash in exchange for all or part of an award, together with any other payments that such participant has the right to receive from the Company, would constitute a "parachute payment" then the payments to such participant will be reduced to the largest amount as will result in no portion of such payments being subject to the excise tax imposed by Section 4999 of the Code. Such reduction, however, will only be made if the aggregate amount of the payments after such reduction exceeds the difference between the amount of such payments absent such reduction minus the aggregate amount of the excise tax imposed under</w:t>
      </w:r>
    </w:p>
    <w:p>
      <w:pPr>
        <w:jc w:val="both"/>
        <w:ind w:right="60"/>
        <w:spacing w:after="0" w:line="238" w:lineRule="auto"/>
        <w:rPr>
          <w:sz w:val="20"/>
          <w:szCs w:val="20"/>
          <w:color w:val="auto"/>
        </w:rPr>
      </w:pPr>
      <w:r>
        <w:rPr>
          <w:rFonts w:ascii="Arial" w:cs="Arial" w:eastAsia="Arial" w:hAnsi="Arial"/>
          <w:sz w:val="18"/>
          <w:szCs w:val="18"/>
          <w:color w:val="auto"/>
        </w:rPr>
        <w:t>Section 4999 of the Code attributable to any such excess parachute payments. If such provisions are applicable and if an employee will be subject to a 20% excise tax on any "excess parachute payment" pursuant to Section 4999 of the Code, we will be denied a deduction with respect to such excess parachute payment pursuant to Section 280G of the Code.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ind w:right="180" w:firstLine="387"/>
        <w:spacing w:after="0" w:line="236"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2009. For information about shares of our common stock that may be issued under our equity compensation plans as of January 20, 2010, the record date, see Proposal Two—Approval of The Toro Company Equity and Incentive Plan under the heading "Equity Compensation Plan Information as of January 20, 2010." Column (c) in the table below does not reflect the 2,750,000 shares of our common stock that will become available for issuance under The Toro Company 2010 Equity and Incentive Plan if our shareholders approve Proposal Two—Approval of The Toro Company 2010 Equity and Incentive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tcPr>
          <w:p>
            <w:pPr>
              <w:jc w:val="center"/>
              <w:ind w:right="104"/>
              <w:spacing w:after="0"/>
              <w:rPr>
                <w:sz w:val="20"/>
                <w:szCs w:val="20"/>
                <w:color w:val="auto"/>
              </w:rPr>
            </w:pPr>
            <w:r>
              <w:rPr>
                <w:rFonts w:ascii="Arial" w:cs="Arial" w:eastAsia="Arial" w:hAnsi="Arial"/>
                <w:sz w:val="14"/>
                <w:szCs w:val="14"/>
                <w:b w:val="1"/>
                <w:bCs w:val="1"/>
                <w:color w:val="auto"/>
              </w:rPr>
              <w:t>Number of Securities to be</w:t>
            </w:r>
          </w:p>
        </w:tc>
        <w:tc>
          <w:tcPr>
            <w:tcW w:w="2200" w:type="dxa"/>
            <w:vAlign w:val="bottom"/>
            <w:gridSpan w:val="2"/>
          </w:tcPr>
          <w:p>
            <w:pPr>
              <w:jc w:val="center"/>
              <w:ind w:right="123"/>
              <w:spacing w:after="0"/>
              <w:rPr>
                <w:sz w:val="20"/>
                <w:szCs w:val="20"/>
                <w:color w:val="auto"/>
              </w:rPr>
            </w:pPr>
            <w:r>
              <w:rPr>
                <w:rFonts w:ascii="Arial" w:cs="Arial" w:eastAsia="Arial" w:hAnsi="Arial"/>
                <w:sz w:val="14"/>
                <w:szCs w:val="14"/>
                <w:b w:val="1"/>
                <w:bCs w:val="1"/>
                <w:color w:val="auto"/>
              </w:rPr>
              <w:t>Weighted Average Exercise</w:t>
            </w:r>
          </w:p>
        </w:tc>
        <w:tc>
          <w:tcPr>
            <w:tcW w:w="2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tcPr>
          <w:p>
            <w:pPr>
              <w:jc w:val="center"/>
              <w:ind w:right="104"/>
              <w:spacing w:after="0"/>
              <w:rPr>
                <w:sz w:val="20"/>
                <w:szCs w:val="20"/>
                <w:color w:val="auto"/>
              </w:rPr>
            </w:pPr>
            <w:r>
              <w:rPr>
                <w:rFonts w:ascii="Arial" w:cs="Arial" w:eastAsia="Arial" w:hAnsi="Arial"/>
                <w:sz w:val="14"/>
                <w:szCs w:val="14"/>
                <w:b w:val="1"/>
                <w:bCs w:val="1"/>
                <w:color w:val="auto"/>
              </w:rPr>
              <w:t>Issued Upon Exercise of</w:t>
            </w:r>
          </w:p>
        </w:tc>
        <w:tc>
          <w:tcPr>
            <w:tcW w:w="180" w:type="dxa"/>
            <w:vAlign w:val="bottom"/>
          </w:tcPr>
          <w:p>
            <w:pPr>
              <w:spacing w:after="0"/>
              <w:rPr>
                <w:sz w:val="14"/>
                <w:szCs w:val="14"/>
                <w:color w:val="auto"/>
              </w:rPr>
            </w:pPr>
          </w:p>
        </w:tc>
        <w:tc>
          <w:tcPr>
            <w:tcW w:w="2020" w:type="dxa"/>
            <w:vAlign w:val="bottom"/>
          </w:tcPr>
          <w:p>
            <w:pPr>
              <w:jc w:val="center"/>
              <w:ind w:right="283"/>
              <w:spacing w:after="0"/>
              <w:rPr>
                <w:sz w:val="20"/>
                <w:szCs w:val="20"/>
                <w:color w:val="auto"/>
              </w:rPr>
            </w:pPr>
            <w:r>
              <w:rPr>
                <w:rFonts w:ascii="Arial" w:cs="Arial" w:eastAsia="Arial" w:hAnsi="Arial"/>
                <w:sz w:val="14"/>
                <w:szCs w:val="14"/>
                <w:b w:val="1"/>
                <w:bCs w:val="1"/>
                <w:color w:val="auto"/>
              </w:rPr>
              <w:t>Price of Outstanding</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tcPr>
          <w:p>
            <w:pPr>
              <w:jc w:val="center"/>
              <w:ind w:right="104"/>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Pr>
          <w:p>
            <w:pPr>
              <w:spacing w:after="0"/>
              <w:rPr>
                <w:sz w:val="14"/>
                <w:szCs w:val="14"/>
                <w:color w:val="auto"/>
              </w:rPr>
            </w:pPr>
          </w:p>
        </w:tc>
        <w:tc>
          <w:tcPr>
            <w:tcW w:w="2020" w:type="dxa"/>
            <w:vAlign w:val="bottom"/>
          </w:tcPr>
          <w:p>
            <w:pPr>
              <w:jc w:val="center"/>
              <w:ind w:right="283"/>
              <w:spacing w:after="0"/>
              <w:rPr>
                <w:sz w:val="20"/>
                <w:szCs w:val="20"/>
                <w:color w:val="auto"/>
              </w:rPr>
            </w:pPr>
            <w:r>
              <w:rPr>
                <w:rFonts w:ascii="Arial" w:cs="Arial" w:eastAsia="Arial" w:hAnsi="Arial"/>
                <w:sz w:val="14"/>
                <w:szCs w:val="14"/>
                <w:b w:val="1"/>
                <w:bCs w:val="1"/>
                <w:color w:val="auto"/>
              </w:rPr>
              <w:t>Options, Warrants and</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(excluding securities</w:t>
            </w:r>
          </w:p>
        </w:tc>
      </w:tr>
      <w:tr>
        <w:trPr>
          <w:trHeight w:val="162"/>
        </w:trPr>
        <w:tc>
          <w:tcPr>
            <w:tcW w:w="1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00" w:type="dxa"/>
            <w:vAlign w:val="bottom"/>
          </w:tcPr>
          <w:p>
            <w:pPr>
              <w:jc w:val="center"/>
              <w:ind w:right="104"/>
              <w:spacing w:after="0"/>
              <w:rPr>
                <w:sz w:val="20"/>
                <w:szCs w:val="20"/>
                <w:color w:val="auto"/>
              </w:rPr>
            </w:pPr>
            <w:r>
              <w:rPr>
                <w:rFonts w:ascii="Arial" w:cs="Arial" w:eastAsia="Arial" w:hAnsi="Arial"/>
                <w:sz w:val="14"/>
                <w:szCs w:val="14"/>
                <w:b w:val="1"/>
                <w:bCs w:val="1"/>
                <w:color w:val="auto"/>
              </w:rPr>
              <w:t>Warrants and Rights</w:t>
            </w:r>
          </w:p>
        </w:tc>
        <w:tc>
          <w:tcPr>
            <w:tcW w:w="180" w:type="dxa"/>
            <w:vAlign w:val="bottom"/>
          </w:tcPr>
          <w:p>
            <w:pPr>
              <w:spacing w:after="0"/>
              <w:rPr>
                <w:sz w:val="14"/>
                <w:szCs w:val="14"/>
                <w:color w:val="auto"/>
              </w:rPr>
            </w:pPr>
          </w:p>
        </w:tc>
        <w:tc>
          <w:tcPr>
            <w:tcW w:w="2020" w:type="dxa"/>
            <w:vAlign w:val="bottom"/>
          </w:tcPr>
          <w:p>
            <w:pPr>
              <w:jc w:val="center"/>
              <w:ind w:right="303"/>
              <w:spacing w:after="0"/>
              <w:rPr>
                <w:sz w:val="20"/>
                <w:szCs w:val="20"/>
                <w:color w:val="auto"/>
              </w:rPr>
            </w:pPr>
            <w:r>
              <w:rPr>
                <w:rFonts w:ascii="Arial" w:cs="Arial" w:eastAsia="Arial" w:hAnsi="Arial"/>
                <w:sz w:val="14"/>
                <w:szCs w:val="14"/>
                <w:b w:val="1"/>
                <w:bCs w:val="1"/>
                <w:color w:val="auto"/>
              </w:rPr>
              <w:t>Rights</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reflected in column)</w:t>
            </w:r>
          </w:p>
        </w:tc>
      </w:tr>
      <w:tr>
        <w:trPr>
          <w:trHeight w:val="196"/>
        </w:trPr>
        <w:tc>
          <w:tcPr>
            <w:tcW w:w="114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tcPr>
          <w:p>
            <w:pPr>
              <w:jc w:val="center"/>
              <w:ind w:right="124"/>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7"/>
                <w:szCs w:val="17"/>
                <w:color w:val="auto"/>
              </w:rPr>
            </w:pPr>
          </w:p>
        </w:tc>
        <w:tc>
          <w:tcPr>
            <w:tcW w:w="2020" w:type="dxa"/>
            <w:vAlign w:val="bottom"/>
          </w:tcPr>
          <w:p>
            <w:pPr>
              <w:jc w:val="center"/>
              <w:ind w:right="283"/>
              <w:spacing w:after="0"/>
              <w:rPr>
                <w:sz w:val="20"/>
                <w:szCs w:val="20"/>
                <w:color w:val="auto"/>
              </w:rPr>
            </w:pPr>
            <w:r>
              <w:rPr>
                <w:rFonts w:ascii="Arial" w:cs="Arial" w:eastAsia="Arial" w:hAnsi="Arial"/>
                <w:sz w:val="14"/>
                <w:szCs w:val="14"/>
                <w:b w:val="1"/>
                <w:bCs w:val="1"/>
                <w:color w:val="auto"/>
              </w:rPr>
              <w:t>(b)</w:t>
            </w:r>
          </w:p>
        </w:tc>
        <w:tc>
          <w:tcPr>
            <w:tcW w:w="2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w:t>
            </w:r>
          </w:p>
        </w:tc>
      </w:tr>
      <w:tr>
        <w:trPr>
          <w:trHeight w:val="183"/>
        </w:trPr>
        <w:tc>
          <w:tcPr>
            <w:tcW w:w="1140" w:type="dxa"/>
            <w:vAlign w:val="bottom"/>
          </w:tcPr>
          <w:p>
            <w:pPr>
              <w:spacing w:after="0"/>
              <w:rPr>
                <w:sz w:val="15"/>
                <w:szCs w:val="15"/>
                <w:color w:val="auto"/>
              </w:rPr>
            </w:pPr>
          </w:p>
        </w:tc>
        <w:tc>
          <w:tcPr>
            <w:tcW w:w="280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8"/>
                <w:szCs w:val="18"/>
                <w:b w:val="1"/>
                <w:bCs w:val="1"/>
                <w:color w:val="auto"/>
              </w:rPr>
              <w:t>Equity compensation plans</w:t>
            </w:r>
          </w:p>
        </w:tc>
        <w:tc>
          <w:tcPr>
            <w:tcW w:w="2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1140" w:type="dxa"/>
            <w:vAlign w:val="bottom"/>
          </w:tcPr>
          <w:p>
            <w:pPr>
              <w:spacing w:after="0"/>
              <w:rPr>
                <w:sz w:val="17"/>
                <w:szCs w:val="17"/>
                <w:color w:val="auto"/>
              </w:rPr>
            </w:pPr>
          </w:p>
        </w:tc>
        <w:tc>
          <w:tcPr>
            <w:tcW w:w="28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approved by security</w:t>
            </w: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28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holders</w:t>
            </w:r>
          </w:p>
        </w:tc>
        <w:tc>
          <w:tcPr>
            <w:tcW w:w="2100" w:type="dxa"/>
            <w:vAlign w:val="bottom"/>
          </w:tcPr>
          <w:p>
            <w:pPr>
              <w:jc w:val="right"/>
              <w:spacing w:after="0" w:line="202" w:lineRule="exact"/>
              <w:rPr>
                <w:sz w:val="20"/>
                <w:szCs w:val="20"/>
                <w:color w:val="auto"/>
              </w:rPr>
            </w:pPr>
            <w:r>
              <w:rPr>
                <w:rFonts w:ascii="Arial" w:cs="Arial" w:eastAsia="Arial" w:hAnsi="Arial"/>
                <w:sz w:val="15"/>
                <w:szCs w:val="15"/>
                <w:color w:val="auto"/>
              </w:rPr>
              <w:t>2,592,825</w:t>
            </w:r>
            <w:r>
              <w:rPr>
                <w:rFonts w:ascii="Arial" w:cs="Arial" w:eastAsia="Arial" w:hAnsi="Arial"/>
                <w:sz w:val="23"/>
                <w:szCs w:val="23"/>
                <w:color w:val="auto"/>
                <w:vertAlign w:val="superscript"/>
              </w:rPr>
              <w:t>(1)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tcPr>
          <w:p>
            <w:pPr>
              <w:jc w:val="center"/>
              <w:ind w:left="1283"/>
              <w:spacing w:after="0" w:line="202" w:lineRule="exact"/>
              <w:rPr>
                <w:sz w:val="20"/>
                <w:szCs w:val="20"/>
                <w:color w:val="auto"/>
              </w:rPr>
            </w:pPr>
            <w:r>
              <w:rPr>
                <w:rFonts w:ascii="Arial" w:cs="Arial" w:eastAsia="Arial" w:hAnsi="Arial"/>
                <w:sz w:val="15"/>
                <w:szCs w:val="15"/>
                <w:color w:val="auto"/>
              </w:rPr>
              <w:t>36.20</w:t>
            </w:r>
            <w:r>
              <w:rPr>
                <w:rFonts w:ascii="Arial" w:cs="Arial" w:eastAsia="Arial" w:hAnsi="Arial"/>
                <w:sz w:val="23"/>
                <w:szCs w:val="23"/>
                <w:color w:val="auto"/>
                <w:vertAlign w:val="superscript"/>
              </w:rPr>
              <w:t>(2)</w:t>
            </w:r>
          </w:p>
        </w:tc>
        <w:tc>
          <w:tcPr>
            <w:tcW w:w="2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719,238</w:t>
            </w:r>
            <w:r>
              <w:rPr>
                <w:rFonts w:ascii="Arial" w:cs="Arial" w:eastAsia="Arial" w:hAnsi="Arial"/>
                <w:sz w:val="23"/>
                <w:szCs w:val="23"/>
                <w:color w:val="auto"/>
                <w:vertAlign w:val="superscript"/>
              </w:rPr>
              <w:t>(3)</w:t>
            </w:r>
          </w:p>
        </w:tc>
      </w:tr>
      <w:tr>
        <w:trPr>
          <w:trHeight w:val="203"/>
        </w:trPr>
        <w:tc>
          <w:tcPr>
            <w:tcW w:w="1140" w:type="dxa"/>
            <w:vAlign w:val="bottom"/>
          </w:tcPr>
          <w:p>
            <w:pPr>
              <w:spacing w:after="0"/>
              <w:rPr>
                <w:sz w:val="17"/>
                <w:szCs w:val="17"/>
                <w:color w:val="auto"/>
              </w:rPr>
            </w:pPr>
          </w:p>
        </w:tc>
        <w:tc>
          <w:tcPr>
            <w:tcW w:w="28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Equity compensation plans not</w:t>
            </w: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28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approved by security</w:t>
            </w: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8"/>
        </w:trPr>
        <w:tc>
          <w:tcPr>
            <w:tcW w:w="1140" w:type="dxa"/>
            <w:vAlign w:val="bottom"/>
          </w:tcPr>
          <w:p>
            <w:pPr>
              <w:spacing w:after="0"/>
              <w:rPr>
                <w:sz w:val="21"/>
                <w:szCs w:val="21"/>
                <w:color w:val="auto"/>
              </w:rPr>
            </w:pPr>
          </w:p>
        </w:tc>
        <w:tc>
          <w:tcPr>
            <w:tcW w:w="2800" w:type="dxa"/>
            <w:vAlign w:val="bottom"/>
            <w:gridSpan w:val="2"/>
          </w:tcPr>
          <w:p>
            <w:pPr>
              <w:ind w:left="180"/>
              <w:spacing w:after="0"/>
              <w:rPr>
                <w:sz w:val="20"/>
                <w:szCs w:val="20"/>
                <w:color w:val="auto"/>
              </w:rPr>
            </w:pPr>
            <w:r>
              <w:rPr>
                <w:rFonts w:ascii="Arial" w:cs="Arial" w:eastAsia="Arial" w:hAnsi="Arial"/>
                <w:sz w:val="18"/>
                <w:szCs w:val="18"/>
                <w:b w:val="1"/>
                <w:bCs w:val="1"/>
                <w:color w:val="auto"/>
              </w:rPr>
              <w:t>holders</w:t>
            </w:r>
          </w:p>
        </w:tc>
        <w:tc>
          <w:tcPr>
            <w:tcW w:w="2100" w:type="dxa"/>
            <w:vAlign w:val="bottom"/>
          </w:tcPr>
          <w:p>
            <w:pPr>
              <w:jc w:val="right"/>
              <w:ind w:right="104"/>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1"/>
                <w:szCs w:val="21"/>
                <w:color w:val="auto"/>
              </w:rPr>
            </w:pPr>
          </w:p>
        </w:tc>
        <w:tc>
          <w:tcPr>
            <w:tcW w:w="2020" w:type="dxa"/>
            <w:vAlign w:val="bottom"/>
          </w:tcPr>
          <w:p>
            <w:pPr>
              <w:jc w:val="center"/>
              <w:ind w:left="1243"/>
              <w:spacing w:after="0"/>
              <w:rPr>
                <w:sz w:val="20"/>
                <w:szCs w:val="20"/>
                <w:color w:val="auto"/>
              </w:rPr>
            </w:pPr>
            <w:r>
              <w:rPr>
                <w:rFonts w:ascii="Arial" w:cs="Arial" w:eastAsia="Arial" w:hAnsi="Arial"/>
                <w:sz w:val="18"/>
                <w:szCs w:val="18"/>
                <w:color w:val="auto"/>
                <w:w w:val="99"/>
              </w:rPr>
              <w:t>N/A</w:t>
            </w:r>
          </w:p>
        </w:tc>
        <w:tc>
          <w:tcPr>
            <w:tcW w:w="2140" w:type="dxa"/>
            <w:vAlign w:val="bottom"/>
            <w:gridSpan w:val="2"/>
          </w:tcPr>
          <w:p>
            <w:pPr>
              <w:jc w:val="right"/>
              <w:spacing w:after="0" w:line="249" w:lineRule="exact"/>
              <w:rPr>
                <w:sz w:val="20"/>
                <w:szCs w:val="20"/>
                <w:color w:val="auto"/>
              </w:rPr>
            </w:pPr>
            <w:r>
              <w:rPr>
                <w:rFonts w:ascii="Arial" w:cs="Arial" w:eastAsia="Arial" w:hAnsi="Arial"/>
                <w:sz w:val="17"/>
                <w:szCs w:val="17"/>
                <w:color w:val="auto"/>
              </w:rPr>
              <w:t>88,253</w:t>
            </w:r>
            <w:r>
              <w:rPr>
                <w:rFonts w:ascii="Arial" w:cs="Arial" w:eastAsia="Arial" w:hAnsi="Arial"/>
                <w:sz w:val="28"/>
                <w:szCs w:val="28"/>
                <w:color w:val="auto"/>
                <w:vertAlign w:val="superscript"/>
              </w:rPr>
              <w:t>(4)</w:t>
            </w:r>
          </w:p>
        </w:tc>
      </w:tr>
      <w:tr>
        <w:trPr>
          <w:trHeight w:val="304"/>
        </w:trPr>
        <w:tc>
          <w:tcPr>
            <w:tcW w:w="1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4"/>
                <w:szCs w:val="24"/>
                <w:color w:val="auto"/>
              </w:rPr>
            </w:pPr>
          </w:p>
        </w:tc>
        <w:tc>
          <w:tcPr>
            <w:tcW w:w="2100" w:type="dxa"/>
            <w:vAlign w:val="bottom"/>
            <w:tcBorders>
              <w:top w:val="single" w:sz="8" w:color="auto"/>
            </w:tcBorders>
          </w:tcPr>
          <w:p>
            <w:pPr>
              <w:jc w:val="right"/>
              <w:ind w:right="104"/>
              <w:spacing w:after="0"/>
              <w:rPr>
                <w:sz w:val="20"/>
                <w:szCs w:val="20"/>
                <w:color w:val="auto"/>
              </w:rPr>
            </w:pPr>
            <w:r>
              <w:rPr>
                <w:rFonts w:ascii="Arial" w:cs="Arial" w:eastAsia="Arial" w:hAnsi="Arial"/>
                <w:sz w:val="18"/>
                <w:szCs w:val="18"/>
                <w:color w:val="auto"/>
              </w:rPr>
              <w:t>2,592,825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center"/>
              <w:ind w:left="1283"/>
              <w:spacing w:after="0" w:line="303" w:lineRule="exact"/>
              <w:rPr>
                <w:sz w:val="20"/>
                <w:szCs w:val="20"/>
                <w:color w:val="auto"/>
              </w:rPr>
            </w:pPr>
            <w:r>
              <w:rPr>
                <w:rFonts w:ascii="Arial" w:cs="Arial" w:eastAsia="Arial" w:hAnsi="Arial"/>
                <w:sz w:val="18"/>
                <w:szCs w:val="18"/>
                <w:color w:val="auto"/>
                <w:w w:val="90"/>
              </w:rPr>
              <w:t>36.20</w:t>
            </w:r>
            <w:r>
              <w:rPr>
                <w:rFonts w:ascii="Arial" w:cs="Arial" w:eastAsia="Arial" w:hAnsi="Arial"/>
                <w:sz w:val="29"/>
                <w:szCs w:val="29"/>
                <w:color w:val="auto"/>
                <w:w w:val="90"/>
                <w:vertAlign w:val="superscript"/>
              </w:rPr>
              <w:t>(2)</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807,491</w:t>
            </w:r>
          </w:p>
        </w:tc>
        <w:tc>
          <w:tcPr>
            <w:tcW w:w="180" w:type="dxa"/>
            <w:vAlign w:val="bottom"/>
          </w:tcPr>
          <w:p>
            <w:pPr>
              <w:spacing w:after="0"/>
              <w:rPr>
                <w:sz w:val="24"/>
                <w:szCs w:val="24"/>
                <w:color w:val="auto"/>
              </w:rPr>
            </w:pPr>
          </w:p>
        </w:tc>
      </w:tr>
    </w:tbl>
    <w:p>
      <w:pPr>
        <w:spacing w:after="0" w:line="219" w:lineRule="exact"/>
        <w:rPr>
          <w:sz w:val="20"/>
          <w:szCs w:val="20"/>
          <w:color w:val="auto"/>
        </w:rPr>
      </w:pPr>
    </w:p>
    <w:p>
      <w:pPr>
        <w:ind w:left="540" w:right="40" w:hanging="532"/>
        <w:spacing w:after="0" w:line="23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 includes: 63,412 outstanding stock options under The Toro Company 1993 Stock Option Plan, 2,007,722 outstanding stock options under The Toro Company 2000 Stock Option Plan and 159,891 outstanding stock options under The Toro Company 2000 Directors Stock Plan as of October 31, 2009. Amount also includes 361,800 outstanding performance share awards under The Toro Company Performance Share Plan as of October 31, 2009. The actual number of shares that will be issued under the performance share awards is subject to reduction, depending on our financial business goal achievement.</w:t>
      </w:r>
    </w:p>
    <w:p>
      <w:pPr>
        <w:spacing w:after="0" w:line="211" w:lineRule="exact"/>
        <w:rPr>
          <w:rFonts w:ascii="Arial" w:cs="Arial" w:eastAsia="Arial" w:hAnsi="Arial"/>
          <w:sz w:val="18"/>
          <w:szCs w:val="18"/>
          <w:color w:val="auto"/>
        </w:rPr>
      </w:pPr>
    </w:p>
    <w:p>
      <w:pPr>
        <w:ind w:left="540" w:right="440" w:hanging="532"/>
        <w:spacing w:after="0" w:line="23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share awards do not have an exercise price and therefore have been excluded from the weighted-average exercise price calculation in column (b).</w:t>
      </w:r>
    </w:p>
    <w:p>
      <w:pPr>
        <w:spacing w:after="0" w:line="195" w:lineRule="exact"/>
        <w:rPr>
          <w:rFonts w:ascii="Arial" w:cs="Arial" w:eastAsia="Arial" w:hAnsi="Arial"/>
          <w:sz w:val="18"/>
          <w:szCs w:val="18"/>
          <w:color w:val="auto"/>
        </w:rPr>
      </w:pPr>
    </w:p>
    <w:p>
      <w:pPr>
        <w:ind w:left="540" w:right="40" w:hanging="532"/>
        <w:spacing w:after="0" w:line="23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 includes: 516,927 shares that remained available at October 31, 2009 for future issuance upon exercise of stock options that may be granted under The Toro Company 2000 Stock Option Plan; 103,361 shares that remained available at October 31, 2009 for future awards under The Toro Company Performance Share Plan; and 98,950 shares that remained available at October 31, 2009 under The Toro Company 2000 Directors Stock Plan, which may be used for annual grants of shares of our common stock to non-employee directors, in addition to stock option grants.</w:t>
      </w:r>
    </w:p>
    <w:p>
      <w:pPr>
        <w:spacing w:after="0" w:line="197" w:lineRule="exact"/>
        <w:rPr>
          <w:rFonts w:ascii="Arial" w:cs="Arial" w:eastAsia="Arial" w:hAnsi="Arial"/>
          <w:sz w:val="18"/>
          <w:szCs w:val="18"/>
          <w:color w:val="auto"/>
        </w:rPr>
      </w:pPr>
    </w:p>
    <w:p>
      <w:pPr>
        <w:ind w:left="540" w:hanging="532"/>
        <w:spacing w:after="0" w:line="23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 includes 88,253 shares that remained available at October 31, 2009 for future issuance under the Toro Australia Pty. Limited General Employee Stock Plan. This plan was not required to be approved by our shareholders. Under this plan, eligible employees of a subsidiary of the Company may acquire shares of our common stock in exchange for salary reduction. Up to 100,000 shares of our common stock are authorized to be issued under this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PROPOSAL THREE—RATIFICATION OF SELECTION OF</w:t>
      </w:r>
    </w:p>
    <w:p>
      <w:pPr>
        <w:spacing w:after="0" w:line="1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234" w:lineRule="exact"/>
        <w:rPr>
          <w:sz w:val="20"/>
          <w:szCs w:val="20"/>
          <w:color w:val="auto"/>
        </w:rPr>
      </w:pPr>
    </w:p>
    <w:p>
      <w:pPr>
        <w:ind w:right="80" w:firstLine="387"/>
        <w:spacing w:after="0" w:line="236" w:lineRule="auto"/>
        <w:rPr>
          <w:sz w:val="20"/>
          <w:szCs w:val="20"/>
          <w:color w:val="auto"/>
        </w:rPr>
      </w:pPr>
      <w:r>
        <w:rPr>
          <w:rFonts w:ascii="Arial" w:cs="Arial" w:eastAsia="Arial" w:hAnsi="Arial"/>
          <w:sz w:val="18"/>
          <w:szCs w:val="18"/>
          <w:color w:val="auto"/>
        </w:rPr>
        <w:t>The Audit Committee again has selected KPMG LLP to serve as our independent registered public accounting firm, or external auditor, for fiscal 2010. Although it is not required to do so, the Board is asking our shareholders to ratify the Audit Committee's selection of KPMG LLP. If our shareholders do not ratify the selection of KPMG LLP, the Audit Committee will reconsider its selection. Even if the selection is ratified by our shareholders, the Audit Committee may in its discretion change the appointment at any time during the year, if it determines that such a change would be in the best interests of our Company and our shareholders.</w:t>
      </w:r>
    </w:p>
    <w:p>
      <w:pPr>
        <w:spacing w:after="0" w:line="211" w:lineRule="exact"/>
        <w:rPr>
          <w:sz w:val="20"/>
          <w:szCs w:val="20"/>
          <w:color w:val="auto"/>
        </w:rPr>
      </w:pPr>
    </w:p>
    <w:p>
      <w:pPr>
        <w:ind w:right="140" w:firstLine="391"/>
        <w:spacing w:after="0" w:line="239" w:lineRule="auto"/>
        <w:rPr>
          <w:sz w:val="20"/>
          <w:szCs w:val="20"/>
          <w:color w:val="auto"/>
        </w:rPr>
      </w:pPr>
      <w:r>
        <w:rPr>
          <w:rFonts w:ascii="Arial" w:cs="Arial" w:eastAsia="Arial" w:hAnsi="Arial"/>
          <w:sz w:val="18"/>
          <w:szCs w:val="18"/>
          <w:color w:val="auto"/>
        </w:rPr>
        <w:t>Representatives of KPMG LLP will be present at the annual meeting to answer appropriate questions. They also will have the opportunity to make a statement if they wish to do so.</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234" w:lineRule="exact"/>
        <w:rPr>
          <w:sz w:val="20"/>
          <w:szCs w:val="20"/>
          <w:color w:val="auto"/>
        </w:rPr>
      </w:pPr>
    </w:p>
    <w:p>
      <w:pPr>
        <w:ind w:right="180" w:firstLine="387"/>
        <w:spacing w:after="0" w:line="239" w:lineRule="auto"/>
        <w:rPr>
          <w:sz w:val="20"/>
          <w:szCs w:val="20"/>
          <w:color w:val="auto"/>
        </w:rPr>
      </w:pPr>
      <w:r>
        <w:rPr>
          <w:rFonts w:ascii="Arial" w:cs="Arial" w:eastAsia="Arial" w:hAnsi="Arial"/>
          <w:sz w:val="18"/>
          <w:szCs w:val="18"/>
          <w:color w:val="auto"/>
        </w:rPr>
        <w:t>The following table presents the aggregate fees billed to us for professional services rendered by KPMG LLP for fiscal 2009 and fiscal 2008 by category, as described in the notes to the table. All fees paid to KPMG LLP were pre-approved by the Audit Committee.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2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Fiscal 2009</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Fiscal 2008</w:t>
            </w:r>
          </w:p>
        </w:tc>
        <w:tc>
          <w:tcPr>
            <w:tcW w:w="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8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4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1,214,975</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1,441,536</w:t>
            </w:r>
          </w:p>
        </w:tc>
        <w:tc>
          <w:tcPr>
            <w:tcW w:w="160" w:type="dxa"/>
            <w:vAlign w:val="bottom"/>
            <w:shd w:val="clear" w:color="auto" w:fill="CCEEFF"/>
          </w:tcPr>
          <w:p>
            <w:pPr>
              <w:spacing w:after="0"/>
              <w:rPr>
                <w:sz w:val="21"/>
                <w:szCs w:val="21"/>
                <w:color w:val="auto"/>
              </w:rPr>
            </w:pPr>
          </w:p>
        </w:tc>
      </w:tr>
      <w:tr>
        <w:trPr>
          <w:trHeight w:val="243"/>
        </w:trPr>
        <w:tc>
          <w:tcPr>
            <w:tcW w:w="3000" w:type="dxa"/>
            <w:vAlign w:val="bottom"/>
            <w:gridSpan w:val="2"/>
          </w:tcPr>
          <w:p>
            <w:pPr>
              <w:ind w:left="1140"/>
              <w:spacing w:after="0" w:line="243" w:lineRule="exact"/>
              <w:rPr>
                <w:sz w:val="20"/>
                <w:szCs w:val="20"/>
                <w:color w:val="auto"/>
              </w:rPr>
            </w:pPr>
            <w:r>
              <w:rPr>
                <w:rFonts w:ascii="Arial" w:cs="Arial" w:eastAsia="Arial" w:hAnsi="Arial"/>
                <w:sz w:val="17"/>
                <w:szCs w:val="17"/>
                <w:color w:val="auto"/>
              </w:rPr>
              <w:t>Audit-Related Fees</w:t>
            </w:r>
            <w:r>
              <w:rPr>
                <w:rFonts w:ascii="Arial" w:cs="Arial" w:eastAsia="Arial" w:hAnsi="Arial"/>
                <w:sz w:val="28"/>
                <w:szCs w:val="28"/>
                <w:color w:val="auto"/>
                <w:vertAlign w:val="superscript"/>
              </w:rPr>
              <w:t>(2)</w:t>
            </w:r>
          </w:p>
        </w:tc>
        <w:tc>
          <w:tcPr>
            <w:tcW w:w="4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40,800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105,150</w:t>
            </w:r>
          </w:p>
        </w:tc>
        <w:tc>
          <w:tcPr>
            <w:tcW w:w="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8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(3)</w:t>
            </w:r>
          </w:p>
        </w:tc>
        <w:tc>
          <w:tcPr>
            <w:tcW w:w="49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52,500</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54,270</w:t>
            </w:r>
          </w:p>
        </w:tc>
        <w:tc>
          <w:tcPr>
            <w:tcW w:w="160" w:type="dxa"/>
            <w:vAlign w:val="bottom"/>
            <w:shd w:val="clear" w:color="auto" w:fill="CCEEFF"/>
          </w:tcPr>
          <w:p>
            <w:pPr>
              <w:spacing w:after="0"/>
              <w:rPr>
                <w:sz w:val="21"/>
                <w:szCs w:val="21"/>
                <w:color w:val="auto"/>
              </w:rPr>
            </w:pPr>
          </w:p>
        </w:tc>
      </w:tr>
      <w:tr>
        <w:trPr>
          <w:trHeight w:val="214"/>
        </w:trPr>
        <w:tc>
          <w:tcPr>
            <w:tcW w:w="3000" w:type="dxa"/>
            <w:vAlign w:val="bottom"/>
            <w:gridSpan w:val="2"/>
          </w:tcPr>
          <w:p>
            <w:pPr>
              <w:ind w:left="1140"/>
              <w:spacing w:after="0"/>
              <w:rPr>
                <w:sz w:val="20"/>
                <w:szCs w:val="20"/>
                <w:color w:val="auto"/>
              </w:rPr>
            </w:pPr>
            <w:r>
              <w:rPr>
                <w:rFonts w:ascii="Arial" w:cs="Arial" w:eastAsia="Arial" w:hAnsi="Arial"/>
                <w:sz w:val="18"/>
                <w:szCs w:val="18"/>
                <w:color w:val="auto"/>
              </w:rPr>
              <w:t>All Other Fees</w:t>
            </w:r>
          </w:p>
        </w:tc>
        <w:tc>
          <w:tcPr>
            <w:tcW w:w="49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r>
      <w:tr>
        <w:trPr>
          <w:trHeight w:val="97"/>
        </w:trPr>
        <w:tc>
          <w:tcPr>
            <w:tcW w:w="1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9" w:lineRule="exact"/>
        <w:rPr>
          <w:sz w:val="20"/>
          <w:szCs w:val="20"/>
          <w:color w:val="auto"/>
        </w:rPr>
      </w:pPr>
    </w:p>
    <w:p>
      <w:pPr>
        <w:ind w:left="540" w:hanging="532"/>
        <w:spacing w:after="0" w:line="236"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2009 for professional services rendered by KPMG LLP in connection with the audit of our annual financial statements, review of our financial statements included in our quarterly reports on Form 10-Q, statutory audits of certain of our international subsidiaries and the audit of internal control over financial reporting in accordance with Section 404 of the Sarbanes-Oxley Act of 2002. For fiscal 2009, also consists of fees billed for professional services rendered by KPMG LLP in connection with the rendering of a consent relating to the Registration Statement on Form S-8 filed on June 5, 2009 and for fiscal 2008, also consists of fees billed for professional services rendered by KPMG LLP in connection with the rendering of a consent relating to the Registration Statement on Form S-8 filed on May 21, 2008.</w:t>
      </w:r>
    </w:p>
    <w:p>
      <w:pPr>
        <w:spacing w:after="0" w:line="209" w:lineRule="exact"/>
        <w:rPr>
          <w:rFonts w:ascii="Arial" w:cs="Arial" w:eastAsia="Arial" w:hAnsi="Arial"/>
          <w:sz w:val="18"/>
          <w:szCs w:val="18"/>
          <w:color w:val="auto"/>
        </w:rPr>
      </w:pPr>
    </w:p>
    <w:p>
      <w:pPr>
        <w:ind w:left="540" w:right="220" w:hanging="532"/>
        <w:spacing w:after="0" w:line="239"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 of aggregate fees billed for KPMG LLP's services related to audits of employee benefit plans and financial due diligence services related to potential transactions.</w:t>
      </w:r>
    </w:p>
    <w:p>
      <w:pPr>
        <w:spacing w:after="0" w:line="195" w:lineRule="exact"/>
        <w:rPr>
          <w:rFonts w:ascii="Arial" w:cs="Arial" w:eastAsia="Arial" w:hAnsi="Arial"/>
          <w:sz w:val="18"/>
          <w:szCs w:val="18"/>
          <w:color w:val="auto"/>
        </w:rPr>
      </w:pPr>
    </w:p>
    <w:p>
      <w:pPr>
        <w:jc w:val="center"/>
        <w:ind w:left="5620" w:right="200" w:hanging="5612"/>
        <w:spacing w:after="0" w:line="489" w:lineRule="auto"/>
        <w:tabs>
          <w:tab w:leader="none" w:pos="5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LLP for domestic and international tax compliance services.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4"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law. The Audit Committee periodically may pre-approve the retention of our external auditor firm for any additional permitted non-audit services. All of the services provided to us by KPMG LLP for which we paid Audit Fees, Audit-Related Fees and Tax Fees, as shown in the table above, were approved by the Audit Committee in accordance with this pre-approval policy and procedure.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12" w:lineRule="exact"/>
        <w:rPr>
          <w:sz w:val="20"/>
          <w:szCs w:val="20"/>
          <w:color w:val="auto"/>
        </w:rPr>
      </w:pPr>
    </w:p>
    <w:p>
      <w:pPr>
        <w:ind w:right="680" w:firstLine="390"/>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2010.</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4" w:lineRule="exact"/>
        <w:rPr>
          <w:sz w:val="20"/>
          <w:szCs w:val="20"/>
          <w:color w:val="auto"/>
        </w:rPr>
      </w:pPr>
    </w:p>
    <w:p>
      <w:pPr>
        <w:ind w:right="80" w:firstLine="387"/>
        <w:spacing w:after="0" w:line="239"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2009. The committee operates pursuant to a written charter.</w:t>
      </w:r>
    </w:p>
    <w:p>
      <w:pPr>
        <w:spacing w:after="0" w:line="209" w:lineRule="exact"/>
        <w:rPr>
          <w:sz w:val="20"/>
          <w:szCs w:val="20"/>
          <w:color w:val="auto"/>
        </w:rPr>
      </w:pPr>
    </w:p>
    <w:p>
      <w:pPr>
        <w:ind w:firstLine="387"/>
        <w:spacing w:after="0" w:line="238" w:lineRule="auto"/>
        <w:rPr>
          <w:sz w:val="20"/>
          <w:szCs w:val="20"/>
          <w:color w:val="auto"/>
        </w:rPr>
      </w:pPr>
      <w:r>
        <w:rPr>
          <w:rFonts w:ascii="Arial" w:cs="Arial" w:eastAsia="Arial" w:hAnsi="Arial"/>
          <w:sz w:val="18"/>
          <w:szCs w:val="18"/>
          <w:color w:val="auto"/>
        </w:rPr>
        <w:t>The ultimate responsibility for good corporate governance rests with the Board, whose primary roles are oversight, counseling and providing direction to our Management in the best long-term interests of the Company and its shareholders. The Audit Committee's purpose is to oversee our accounting and financial reporting processes and the audits of our annual financial statements.</w:t>
      </w:r>
    </w:p>
    <w:p>
      <w:pPr>
        <w:spacing w:after="0" w:line="208" w:lineRule="exact"/>
        <w:rPr>
          <w:sz w:val="20"/>
          <w:szCs w:val="20"/>
          <w:color w:val="auto"/>
        </w:rPr>
      </w:pPr>
    </w:p>
    <w:p>
      <w:pPr>
        <w:ind w:right="40" w:firstLine="391"/>
        <w:spacing w:after="0" w:line="237" w:lineRule="auto"/>
        <w:rPr>
          <w:sz w:val="20"/>
          <w:szCs w:val="20"/>
          <w:color w:val="auto"/>
        </w:rPr>
      </w:pPr>
      <w:r>
        <w:rPr>
          <w:rFonts w:ascii="Arial" w:cs="Arial" w:eastAsia="Arial" w:hAnsi="Arial"/>
          <w:sz w:val="18"/>
          <w:szCs w:val="18"/>
          <w:color w:val="auto"/>
        </w:rPr>
        <w:t>Our Management is responsible for the preparation and presentation of complete and accurate financial statements. Our independent registered public accounting firm, KPMG LLP, is responsible for performing an independent audit of our financial statements in accordance with the standards of the Public Company Accounting Oversight Board (United States) and for issuing a report on its audit. Our independent registered public accounting firm also is responsible for auditing our internal control over financial reporting.</w:t>
      </w:r>
    </w:p>
    <w:p>
      <w:pPr>
        <w:spacing w:after="0" w:line="209" w:lineRule="exact"/>
        <w:rPr>
          <w:sz w:val="20"/>
          <w:szCs w:val="20"/>
          <w:color w:val="auto"/>
        </w:rPr>
      </w:pPr>
    </w:p>
    <w:p>
      <w:pPr>
        <w:ind w:right="60" w:firstLine="391"/>
        <w:spacing w:after="0" w:line="236" w:lineRule="auto"/>
        <w:rPr>
          <w:sz w:val="20"/>
          <w:szCs w:val="20"/>
          <w:color w:val="auto"/>
        </w:rPr>
      </w:pPr>
      <w:r>
        <w:rPr>
          <w:rFonts w:ascii="Arial" w:cs="Arial" w:eastAsia="Arial" w:hAnsi="Arial"/>
          <w:sz w:val="18"/>
          <w:szCs w:val="18"/>
          <w:color w:val="auto"/>
        </w:rPr>
        <w:t xml:space="preserve">In performing its oversight role, the Audit Committee has reviewed and discussed with Management our audited financial statements for fiscal 2009. Management represented to the committee that our consolidated financial statements were prepared in accordance with United States generally accepted accounting principles. The committee has discussed with KPMG LLP, our independent registered public accounting firm, the matters required to be discussed by Statement on Auditing Standards No. 114, </w:t>
      </w:r>
      <w:r>
        <w:rPr>
          <w:rFonts w:ascii="Arial" w:cs="Arial" w:eastAsia="Arial" w:hAnsi="Arial"/>
          <w:sz w:val="18"/>
          <w:szCs w:val="18"/>
          <w:i w:val="1"/>
          <w:iCs w:val="1"/>
          <w:color w:val="auto"/>
        </w:rPr>
        <w:t>The Auditor's Communication With Those Charged With</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 as in effect for fiscal 2009. The committee has received the written disclosures and the letter from KPMG LLP required by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Accounting Oversight Board independence and ethics rule,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as in effect for fiscal 2009. The committee has discussed with KPMG LLP its independence and concluded that the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is independent from the Company and its Management.</w:t>
      </w:r>
    </w:p>
    <w:p>
      <w:pPr>
        <w:spacing w:after="0" w:line="208" w:lineRule="exact"/>
        <w:rPr>
          <w:sz w:val="20"/>
          <w:szCs w:val="20"/>
          <w:color w:val="auto"/>
        </w:rPr>
      </w:pPr>
    </w:p>
    <w:p>
      <w:pPr>
        <w:ind w:firstLine="391"/>
        <w:spacing w:after="0" w:line="237" w:lineRule="auto"/>
        <w:rPr>
          <w:sz w:val="20"/>
          <w:szCs w:val="20"/>
          <w:color w:val="auto"/>
        </w:rPr>
      </w:pPr>
      <w:r>
        <w:rPr>
          <w:rFonts w:ascii="Arial" w:cs="Arial" w:eastAsia="Arial" w:hAnsi="Arial"/>
          <w:sz w:val="18"/>
          <w:szCs w:val="18"/>
          <w:color w:val="auto"/>
        </w:rPr>
        <w:t>Based on the review and discussions referred to in the foregoing paragraph, in reliance on the unqualified opinion of KPMG LLP regarding our audited financial statements, and subject to the limitations on the role and responsibilities of the Audit Committee in its charter, the Audit Committee recommended to the Board that our audited financial statements for fiscal 2009 be included in our Annual Report on Form 10-K for the fiscal year ended October 31, 2009, for filing with the SEC.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jc w:val="center"/>
        <w:spacing w:after="0" w:line="234" w:lineRule="auto"/>
        <w:rPr>
          <w:sz w:val="20"/>
          <w:szCs w:val="20"/>
          <w:color w:val="auto"/>
        </w:rPr>
      </w:pPr>
      <w:r>
        <w:rPr>
          <w:rFonts w:ascii="Arial" w:cs="Arial" w:eastAsia="Arial" w:hAnsi="Arial"/>
          <w:sz w:val="18"/>
          <w:szCs w:val="18"/>
          <w:color w:val="auto"/>
        </w:rPr>
        <w:t>Janet K. Cooper (Chair)</w:t>
      </w:r>
    </w:p>
    <w:p>
      <w:pPr>
        <w:jc w:val="center"/>
        <w:spacing w:after="0" w:line="235" w:lineRule="auto"/>
        <w:rPr>
          <w:sz w:val="20"/>
          <w:szCs w:val="20"/>
          <w:color w:val="auto"/>
        </w:rPr>
      </w:pPr>
      <w:r>
        <w:rPr>
          <w:rFonts w:ascii="Arial" w:cs="Arial" w:eastAsia="Arial" w:hAnsi="Arial"/>
          <w:sz w:val="18"/>
          <w:szCs w:val="18"/>
          <w:color w:val="auto"/>
        </w:rPr>
        <w:t>Robert C. Buhrmaster</w:t>
      </w:r>
    </w:p>
    <w:p>
      <w:pPr>
        <w:jc w:val="center"/>
        <w:spacing w:after="0" w:line="235" w:lineRule="auto"/>
        <w:rPr>
          <w:sz w:val="20"/>
          <w:szCs w:val="20"/>
          <w:color w:val="auto"/>
        </w:rPr>
      </w:pPr>
      <w:r>
        <w:rPr>
          <w:rFonts w:ascii="Arial" w:cs="Arial" w:eastAsia="Arial" w:hAnsi="Arial"/>
          <w:sz w:val="18"/>
          <w:szCs w:val="18"/>
          <w:color w:val="auto"/>
        </w:rPr>
        <w:t>Winslow H. Buxton</w:t>
      </w:r>
    </w:p>
    <w:p>
      <w:pPr>
        <w:jc w:val="center"/>
        <w:spacing w:after="0" w:line="235" w:lineRule="auto"/>
        <w:rPr>
          <w:sz w:val="20"/>
          <w:szCs w:val="20"/>
          <w:color w:val="auto"/>
        </w:rPr>
      </w:pPr>
      <w:r>
        <w:rPr>
          <w:rFonts w:ascii="Arial" w:cs="Arial" w:eastAsia="Arial" w:hAnsi="Arial"/>
          <w:sz w:val="18"/>
          <w:szCs w:val="18"/>
          <w:color w:val="auto"/>
        </w:rPr>
        <w:t>Gary L. Ellis</w:t>
      </w:r>
    </w:p>
    <w:p>
      <w:pPr>
        <w:jc w:val="center"/>
        <w:spacing w:after="0" w:line="235" w:lineRule="auto"/>
        <w:rPr>
          <w:sz w:val="20"/>
          <w:szCs w:val="20"/>
          <w:color w:val="auto"/>
        </w:rPr>
      </w:pPr>
      <w:r>
        <w:rPr>
          <w:rFonts w:ascii="Arial" w:cs="Arial" w:eastAsia="Arial" w:hAnsi="Arial"/>
          <w:sz w:val="18"/>
          <w:szCs w:val="18"/>
          <w:color w:val="auto"/>
        </w:rPr>
        <w:t>Robert H. Nassau</w:t>
      </w:r>
    </w:p>
    <w:p>
      <w:pPr>
        <w:jc w:val="center"/>
        <w:spacing w:after="0"/>
        <w:rPr>
          <w:sz w:val="20"/>
          <w:szCs w:val="20"/>
          <w:color w:val="auto"/>
        </w:rPr>
      </w:pPr>
      <w:r>
        <w:rPr>
          <w:rFonts w:ascii="Arial" w:cs="Arial" w:eastAsia="Arial" w:hAnsi="Arial"/>
          <w:sz w:val="18"/>
          <w:szCs w:val="18"/>
          <w:color w:val="auto"/>
        </w:rPr>
        <w:t>Inge G. Thulin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2011 Annual Meeting</w:t>
      </w:r>
    </w:p>
    <w:p>
      <w:pPr>
        <w:spacing w:after="0" w:line="234" w:lineRule="exact"/>
        <w:rPr>
          <w:sz w:val="20"/>
          <w:szCs w:val="20"/>
          <w:color w:val="auto"/>
        </w:rPr>
      </w:pPr>
    </w:p>
    <w:p>
      <w:pPr>
        <w:ind w:right="20" w:firstLine="387"/>
        <w:spacing w:after="0" w:line="236" w:lineRule="auto"/>
        <w:rPr>
          <w:sz w:val="20"/>
          <w:szCs w:val="20"/>
          <w:color w:val="auto"/>
        </w:rPr>
      </w:pPr>
      <w:r>
        <w:rPr>
          <w:rFonts w:ascii="Arial" w:cs="Arial" w:eastAsia="Arial" w:hAnsi="Arial"/>
          <w:sz w:val="18"/>
          <w:szCs w:val="18"/>
          <w:color w:val="auto"/>
        </w:rPr>
        <w:t>The 2011 Annual Meeting is expected to be held on March 15, 2011. In order for a shareholder proposal to be included in our proxy statement for the 2011 Annual Meeting, (a) our Vice President, Secretary and General Counsel must receive such proposal no later than the close of business on October 5, 2010, unless the date of the 2011 Annual Meeting is delayed by more than 30 calendar days; and (b) such proposal must satisfy all of the requirements of, and not otherwise be permitted to be excluded under, Rule 14a-8 promulgated by the SEC and our Amended and Restated Bylaws.</w:t>
      </w:r>
    </w:p>
    <w:p>
      <w:pPr>
        <w:spacing w:after="0" w:line="211" w:lineRule="exact"/>
        <w:rPr>
          <w:sz w:val="20"/>
          <w:szCs w:val="20"/>
          <w:color w:val="auto"/>
        </w:rPr>
      </w:pPr>
    </w:p>
    <w:p>
      <w:pPr>
        <w:ind w:right="100" w:firstLine="391"/>
        <w:spacing w:after="0" w:line="264" w:lineRule="auto"/>
        <w:rPr>
          <w:sz w:val="20"/>
          <w:szCs w:val="20"/>
          <w:color w:val="auto"/>
        </w:rPr>
      </w:pPr>
      <w:r>
        <w:rPr>
          <w:rFonts w:ascii="Arial" w:cs="Arial" w:eastAsia="Arial" w:hAnsi="Arial"/>
          <w:sz w:val="16"/>
          <w:szCs w:val="16"/>
          <w:color w:val="auto"/>
        </w:rPr>
        <w:t>Under our Amended and Restated Bylaws, in order for a shareholder to nominate one or more persons for election to the Board at the 2011 Annual Meeting or propose any other business to be brought before the 2011 Annual Meeting, complete and timely notice must be given in writing and in proper form to our Vice President, Secretary and General Counsel not later than December 16, 2010 nor earlier than November 16, 2010. However, if the date of the 2011 Annual Meeting is advanced by more than 30 days or delayed by more than 60 days from the first anniversary</w:t>
      </w:r>
    </w:p>
    <w:p>
      <w:pPr>
        <w:ind w:right="340"/>
        <w:spacing w:after="0" w:line="181" w:lineRule="auto"/>
        <w:rPr>
          <w:sz w:val="20"/>
          <w:szCs w:val="20"/>
          <w:color w:val="auto"/>
        </w:rPr>
      </w:pPr>
      <w:r>
        <w:rPr>
          <w:rFonts w:ascii="Arial" w:cs="Arial" w:eastAsia="Arial" w:hAnsi="Arial"/>
          <w:sz w:val="17"/>
          <w:szCs w:val="17"/>
          <w:color w:val="auto"/>
        </w:rPr>
        <w:t>date of the 2010 Annual Meeting, such notice must be delivered not earlier than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date of the rescheduled 2011 Annual Meeting and not later than the close of business on the later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date of the rescheduled 2011 Annual Meeting or the</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we first make public announcement of the date of the rescheduled 2011 Annual Meeting. Any notice must contain the specific information required by our Amended and Restated Bylaws, including, among other things, information about any proposed nominee and his or her relationships with the shareholder submitting the nomination; information about any agreements, arrangements or understandings the shareholder may have with any proposed nominee or other parties relating to the nomination or other proposal; and information about the interests that the shareholder has related to the Company and our shares, including as a result of, among other things, derivative securities, voting arrangements, short positions or other interests. Such information must be updated as of the record date for the 2011 Annual Meeting and as of the date that is ten business days prior to the date of the 2011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2011 Annual Meeting. If a nomination or proposal is nonetheless brought before the 2011 Annual Meeting and the Chairman does not exercise the power and duty to declare the nomination or proposal defective, the persons named in the proxy may use their discretionary voting with respect to your nomination or proposal.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34" w:lineRule="exact"/>
        <w:rPr>
          <w:sz w:val="20"/>
          <w:szCs w:val="20"/>
          <w:color w:val="auto"/>
        </w:rPr>
      </w:pPr>
    </w:p>
    <w:p>
      <w:pPr>
        <w:ind w:right="200" w:firstLine="391"/>
        <w:spacing w:after="0" w:line="239"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copy of our proxy statement or Annual Report on Form 10-K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Any shareholder who wants to receive separate copies of our proxy statement or Annual Report on Form 10-K in the future, or any shareholder who is receiving multiple copies and would like to receive only one copy per household, should contact his, her or its bank, broker or other nominee record holder. A copy of these documents also may be downloaded and printed from our website at www.thetorocompany.com/proxy.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12" w:lineRule="exact"/>
        <w:rPr>
          <w:sz w:val="20"/>
          <w:szCs w:val="20"/>
          <w:color w:val="auto"/>
        </w:rPr>
      </w:pPr>
    </w:p>
    <w:p>
      <w:pPr>
        <w:ind w:right="120" w:firstLine="390"/>
        <w:spacing w:after="0"/>
        <w:rPr>
          <w:sz w:val="20"/>
          <w:szCs w:val="20"/>
          <w:color w:val="auto"/>
        </w:rPr>
      </w:pPr>
      <w:r>
        <w:rPr>
          <w:rFonts w:ascii="Arial" w:cs="Arial" w:eastAsia="Arial" w:hAnsi="Arial"/>
          <w:sz w:val="18"/>
          <w:szCs w:val="18"/>
          <w:b w:val="1"/>
          <w:bCs w:val="1"/>
          <w:color w:val="auto"/>
        </w:rPr>
        <w:t>A copy of Toro's Annual Report on Form 10-K for the fiscal year ended October 31, 2009,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2009 Annual Report, which contains information about our businesses but is not part of our disclosure deemed to be filed with the SEC, also is available on our website at www.thetorocompany.com/proxy.</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34"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 fiduciaries to send proxy material to beneficial owners of our common stock. We will reimburse these third-parties for reasonable out-of-pocket expenses. In addition to solicitation by mail, our non-employee directors, officers and employees may solicit proxies by telephone, electronic transmission and personally. Our non-employee directors, officers and employees will not receive compensation for such services other than regular employee compensation. We have retained Morrow &amp; Co. for an estimated fee of $7,500, plus out of pocket expenses, to assist in distributing proxy materials and soliciting proxies.</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Dated: February 2, 2010</w:t>
      </w:r>
    </w:p>
    <w:p>
      <w:pPr>
        <w:spacing w:after="0" w:line="21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163830</wp:posOffset>
            </wp:positionV>
            <wp:extent cx="1749425" cy="46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494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TIMOTHY P. DORDELL</w:t>
      </w:r>
    </w:p>
    <w:p>
      <w:pPr>
        <w:spacing w:after="0" w:line="18"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Vice President, Secretary and General Counsel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1784985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848995" cy="1560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48995" cy="1560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ind w:left="10500"/>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2010 Equity and Incentive Plan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Effective March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3320" w:type="dxa"/>
            <w:vAlign w:val="bottom"/>
          </w:tcPr>
          <w:p>
            <w:pPr>
              <w:spacing w:after="0"/>
              <w:rPr>
                <w:sz w:val="20"/>
                <w:szCs w:val="20"/>
                <w:color w:val="auto"/>
              </w:rPr>
            </w:pPr>
          </w:p>
        </w:tc>
      </w:tr>
      <w:tr>
        <w:trPr>
          <w:trHeight w:val="418"/>
        </w:trPr>
        <w:tc>
          <w:tcPr>
            <w:tcW w:w="8140" w:type="dxa"/>
            <w:vAlign w:val="bottom"/>
          </w:tcPr>
          <w:p>
            <w:pPr>
              <w:spacing w:after="0"/>
              <w:rPr>
                <w:sz w:val="20"/>
                <w:szCs w:val="20"/>
                <w:color w:val="auto"/>
              </w:rPr>
            </w:pPr>
            <w:r>
              <w:rPr>
                <w:rFonts w:ascii="Arial" w:cs="Arial" w:eastAsia="Arial" w:hAnsi="Arial"/>
                <w:sz w:val="18"/>
                <w:szCs w:val="18"/>
                <w:color w:val="auto"/>
              </w:rPr>
              <w:t>Article 1. Establishment, Purpose and Duration</w:t>
            </w:r>
          </w:p>
        </w:tc>
        <w:tc>
          <w:tcPr>
            <w:tcW w:w="3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 Definitions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3. Administration</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4. Shares Subject to This Plan and Maximum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5. Eligibility and Participation</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6. Stock Options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7. Stock Appreciation Rights</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8. Restricted Stock and Restricted Stock Units</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9. Performance Units and Performance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10. Annual Performance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11. Nonemployee Director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12. Other Cash-Based Awards and Other Stock-Based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13. Termination of Service</w:t>
            </w:r>
          </w:p>
        </w:tc>
        <w:tc>
          <w:tcPr>
            <w:tcW w:w="3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14. Transferability of Awards and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15. Performance Measures</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16. Dividend Equivalents</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17. Beneficiary Designation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18. Rights of Participants</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19. Change of Control</w:t>
            </w:r>
          </w:p>
        </w:tc>
        <w:tc>
          <w:tcPr>
            <w:tcW w:w="3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20. Amendment and Termination</w:t>
            </w:r>
          </w:p>
        </w:tc>
        <w:tc>
          <w:tcPr>
            <w:tcW w:w="3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21. Withholding</w:t>
            </w:r>
          </w:p>
        </w:tc>
        <w:tc>
          <w:tcPr>
            <w:tcW w:w="3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Article 22. Successors</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Article 23. General Provisions</w:t>
            </w:r>
          </w:p>
        </w:tc>
        <w:tc>
          <w:tcPr>
            <w:tcW w:w="3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8"/>
        </w:trPr>
        <w:tc>
          <w:tcPr>
            <w:tcW w:w="814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and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25"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b w:val="1"/>
          <w:bCs w:val="1"/>
          <w:color w:val="auto"/>
        </w:rPr>
        <w:t>1.1 Establishment</w:t>
      </w:r>
      <w:r>
        <w:rPr>
          <w:rFonts w:ascii="Arial" w:cs="Arial" w:eastAsia="Arial" w:hAnsi="Arial"/>
          <w:sz w:val="16"/>
          <w:szCs w:val="16"/>
          <w:color w:val="auto"/>
        </w:rPr>
        <w:t>. The Toro Company, a Delaware corporation (the “Company”), hereby establishes an incentive compensation plan to be</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The Toro Company 2010 Equity and Incentive Plan (this “Plan”), as set forth in this document. This Plan provides for the grant of Nonqualified Stock Options, Incentive Stock Options, Stock Appreciation Rights, Restricted Stock, Restricted Stock Units, Performance Shares, Performance Units, Annual Performance Awards, Nonemployee Director Awards, Other Cash-Based Awards and Other Stock-Based Awards, each as defined below in Article 2. This Plan shall become effective upon shareholder approval (the “Effective Date”) and shall remain in effect as provided in Section 1.3 hereof.</w:t>
      </w:r>
    </w:p>
    <w:p>
      <w:pPr>
        <w:spacing w:after="0" w:line="154"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1.2 Purpose of This Plan</w:t>
      </w:r>
      <w:r>
        <w:rPr>
          <w:rFonts w:ascii="Arial" w:cs="Arial" w:eastAsia="Arial" w:hAnsi="Arial"/>
          <w:sz w:val="16"/>
          <w:szCs w:val="16"/>
          <w:color w:val="auto"/>
        </w:rPr>
        <w:t>. The purpose of this Plan is to provide a means whereby Employees, Directors and Third-Party Service Providers,</w:t>
      </w:r>
      <w:r>
        <w:rPr>
          <w:rFonts w:ascii="Arial" w:cs="Arial" w:eastAsia="Arial" w:hAnsi="Arial"/>
          <w:sz w:val="16"/>
          <w:szCs w:val="16"/>
          <w:b w:val="1"/>
          <w:bCs w:val="1"/>
          <w:color w:val="auto"/>
        </w:rPr>
        <w:t xml:space="preserve"> </w:t>
      </w:r>
      <w:r>
        <w:rPr>
          <w:rFonts w:ascii="Arial" w:cs="Arial" w:eastAsia="Arial" w:hAnsi="Arial"/>
          <w:sz w:val="16"/>
          <w:szCs w:val="16"/>
          <w:color w:val="auto"/>
        </w:rPr>
        <w:t>each as defined below in Article 2,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for whom the responsibilities of the successful administration and management of the Company are of importance can acquire and maintain stock ownership, thereby strengthening their concern for the welfare of the Company.</w:t>
      </w:r>
    </w:p>
    <w:p>
      <w:pPr>
        <w:spacing w:after="0" w:line="15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1.3 Duration of This Plan</w:t>
      </w:r>
      <w:r>
        <w:rPr>
          <w:rFonts w:ascii="Arial" w:cs="Arial" w:eastAsia="Arial" w:hAnsi="Arial"/>
          <w:sz w:val="18"/>
          <w:szCs w:val="18"/>
          <w:color w:val="auto"/>
        </w:rPr>
        <w:t>. Unless sooner terminated as provided herein, this Plan shall terminate ten (10) years from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this Plan is terminated, no Awards (as defined below in Article 2) may be granted but Awards previously granted shall remain outstanding in accordance with their applicable terms and conditions and this Plan’s terms and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6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 corporation or other entity (including a partnership or a limited liability company) that is controlled by,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or under common control with, the Company, and is designated as an Affiliate for purposes of this Plan by the Committee.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Award Limit</w:t>
      </w:r>
      <w:r>
        <w:rPr>
          <w:rFonts w:ascii="Arial" w:cs="Arial" w:eastAsia="Arial" w:hAnsi="Arial"/>
          <w:sz w:val="16"/>
          <w:szCs w:val="16"/>
          <w:color w:val="auto"/>
        </w:rPr>
        <w:t>” or “</w:t>
      </w:r>
      <w:r>
        <w:rPr>
          <w:rFonts w:ascii="Arial" w:cs="Arial" w:eastAsia="Arial" w:hAnsi="Arial"/>
          <w:sz w:val="16"/>
          <w:szCs w:val="16"/>
          <w:b w:val="1"/>
          <w:bCs w:val="1"/>
          <w:color w:val="auto"/>
        </w:rPr>
        <w:t>Annual Award Limits</w:t>
      </w:r>
      <w:r>
        <w:rPr>
          <w:rFonts w:ascii="Arial" w:cs="Arial" w:eastAsia="Arial" w:hAnsi="Arial"/>
          <w:sz w:val="16"/>
          <w:szCs w:val="16"/>
          <w:color w:val="auto"/>
        </w:rPr>
        <w:t>” have the meaning set forth in Section 4.3.</w:t>
      </w:r>
    </w:p>
    <w:p>
      <w:pPr>
        <w:spacing w:after="0" w:line="225"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color w:val="auto"/>
        </w:rPr>
        <w:t>“</w:t>
      </w:r>
      <w:r>
        <w:rPr>
          <w:rFonts w:ascii="Arial" w:cs="Arial" w:eastAsia="Arial" w:hAnsi="Arial"/>
          <w:sz w:val="16"/>
          <w:szCs w:val="16"/>
          <w:b w:val="1"/>
          <w:bCs w:val="1"/>
          <w:color w:val="auto"/>
        </w:rPr>
        <w:t>Adverse Action</w:t>
      </w:r>
      <w:r>
        <w:rPr>
          <w:rFonts w:ascii="Arial" w:cs="Arial" w:eastAsia="Arial" w:hAnsi="Arial"/>
          <w:sz w:val="16"/>
          <w:szCs w:val="16"/>
          <w:color w:val="auto"/>
        </w:rPr>
        <w:t>” means any Participant, during or within one year after the termination of employment or other service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 Affiliate or a Subsidiary, (a) being employed or retained by or rendering services to any organization that, directly or indirectly, competes with or becomes competitive with the Company or such Affiliate or Subsidiary, or rendering such services that are prejudicial or in conflict with the interests of the Company, an Affiliate or a Subsidiary, or (b) violating any confidentiality agreement or agreement governing the ownership or assignment of intellectual</w:t>
      </w:r>
    </w:p>
    <w:p>
      <w:pPr>
        <w:sectPr>
          <w:pgSz w:w="11900" w:h="16838" w:orient="portrait"/>
          <w:cols w:equalWidth="0" w:num="1">
            <w:col w:w="11460"/>
          </w:cols>
          <w:pgMar w:left="240" w:top="121" w:right="199" w:bottom="0" w:gutter="0" w:footer="0" w:header="0"/>
        </w:sectPr>
      </w:pPr>
    </w:p>
    <w:bookmarkStart w:id="103" w:name="page104"/>
    <w:bookmarkEnd w:id="103"/>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rights with the Company, or (c) engaging in any other conduct or act determined to be injurious, detrimental or prejudicial to any interest of the Company, an Affiliate or a Subsidiary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Performance Award</w:t>
      </w:r>
      <w:r>
        <w:rPr>
          <w:rFonts w:ascii="Arial" w:cs="Arial" w:eastAsia="Arial" w:hAnsi="Arial"/>
          <w:sz w:val="16"/>
          <w:szCs w:val="16"/>
          <w:color w:val="auto"/>
        </w:rPr>
        <w:t>” has the meaning set forth in Section 10.1.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this Plan of Nonqualified Stock Options, Incentive Stock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Restricted Stock, Restricted Stock Units, Performance Shares, Performance Units, Annual Performance Awards, Nonemployee Director Awards, Other Cash-Based Awards or Other Stock-Based Awards, in each case subject to the terms of this Plan.</w:t>
      </w:r>
    </w:p>
    <w:p>
      <w:pPr>
        <w:spacing w:after="0" w:line="17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 setting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applicable to an Award granted under this Plan, including any amendment or modification thereof,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84"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under the Exchange Act.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or “</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of the following events:</w:t>
      </w:r>
    </w:p>
    <w:p>
      <w:pPr>
        <w:spacing w:after="0" w:line="229" w:lineRule="exact"/>
        <w:rPr>
          <w:sz w:val="20"/>
          <w:szCs w:val="20"/>
          <w:color w:val="auto"/>
        </w:rPr>
      </w:pPr>
    </w:p>
    <w:p>
      <w:pPr>
        <w:ind w:left="1300" w:right="60" w:hanging="644"/>
        <w:spacing w:after="0" w:line="272" w:lineRule="auto"/>
        <w:tabs>
          <w:tab w:leader="none" w:pos="131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paragraph 2.9; or</w:t>
      </w:r>
    </w:p>
    <w:p>
      <w:pPr>
        <w:spacing w:after="0" w:line="177" w:lineRule="exact"/>
        <w:rPr>
          <w:rFonts w:ascii="Arial" w:cs="Arial" w:eastAsia="Arial" w:hAnsi="Arial"/>
          <w:sz w:val="17"/>
          <w:szCs w:val="17"/>
          <w:color w:val="auto"/>
        </w:rPr>
      </w:pPr>
    </w:p>
    <w:p>
      <w:pPr>
        <w:ind w:left="1300" w:right="20" w:hanging="644"/>
        <w:spacing w:after="0" w:line="255" w:lineRule="auto"/>
        <w:tabs>
          <w:tab w:leader="none" w:pos="13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ind w:left="1300" w:right="20" w:hanging="644"/>
        <w:spacing w:after="0" w:line="270" w:lineRule="auto"/>
        <w:tabs>
          <w:tab w:leader="none" w:pos="131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71" w:lineRule="auto"/>
        <w:rPr>
          <w:sz w:val="20"/>
          <w:szCs w:val="20"/>
          <w:color w:val="auto"/>
        </w:rPr>
      </w:pPr>
      <w:r>
        <w:rPr>
          <w:rFonts w:ascii="Arial" w:cs="Arial" w:eastAsia="Arial" w:hAnsi="Arial"/>
          <w:sz w:val="17"/>
          <w:szCs w:val="17"/>
          <w:color w:val="auto"/>
        </w:rPr>
        <w:t>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twenty percent (20%)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9" w:lineRule="exact"/>
        <w:rPr>
          <w:sz w:val="20"/>
          <w:szCs w:val="20"/>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 references to sections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shall be deemed to include references to any applicable regulations thereunder and any successor or similar provision.</w:t>
      </w:r>
    </w:p>
    <w:p>
      <w:pPr>
        <w:spacing w:after="0" w:line="162"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and Human Resources Committee of the Board or a subcommittee thereof,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comprised solely of directors designated by the Board to administer this Plan who are (a) “non-employee directors” within the meaning of Rule 16b-3 under the Exchange Act, (b) “independent directors” (as defined in the rules of The New York Stock Exchange) and (c) “outside directors” within the meaning of Code Section 162(m).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ectPr>
          <w:pgSz w:w="11900" w:h="16907" w:orient="portrait"/>
          <w:cols w:equalWidth="0" w:num="1">
            <w:col w:w="11420"/>
          </w:cols>
          <w:pgMar w:left="240" w:top="125" w:right="239" w:bottom="0" w:gutter="0" w:footer="0" w:header="0"/>
        </w:sectPr>
      </w:pPr>
    </w:p>
    <w:bookmarkStart w:id="104" w:name="page105"/>
    <w:bookmarkEnd w:id="104"/>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The Toro Company, a Delaware corporation, and any successor thereto as provided in Article 22 herein.</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t>
      </w:r>
      <w:r>
        <w:rPr>
          <w:rFonts w:ascii="Arial" w:cs="Arial" w:eastAsia="Arial" w:hAnsi="Arial"/>
          <w:sz w:val="18"/>
          <w:szCs w:val="18"/>
          <w:b w:val="1"/>
          <w:bCs w:val="1"/>
          <w:color w:val="auto"/>
        </w:rPr>
        <w:t>Covered Employee</w:t>
      </w:r>
      <w:r>
        <w:rPr>
          <w:rFonts w:ascii="Arial" w:cs="Arial" w:eastAsia="Arial" w:hAnsi="Arial"/>
          <w:sz w:val="18"/>
          <w:szCs w:val="18"/>
          <w:color w:val="auto"/>
        </w:rPr>
        <w:t>” means any Employee who is or may become a “Covered Employee,” as defined in Code Section 162(m), and who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either as an individual Employee or class of Employees, by the Committee within the shorter of: (a) ninety (90) days after the beginning of any Performance Period, or (b) twenty-five percent (25%) of any Performance Period has elapsed, as a “Covered Employee” under this Plan for such applicable Performance Period.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any individual who is a member of the Board of Directors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disability of the Participant such as would entitle the Participant to receive disability income benefits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disability plan of the Company, Affiliate or Subsidiary then covering the Participant or, if no such plan exists or is applicable to the Participant, the permanent and total disability of the Participant within the meaning of Code Section 22(e)(3).</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Section 1.1.</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2.17 </w:t>
      </w: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means any individual performing services for the Company, an Affiliate, or a Subsidiary and designated as an employee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 Affiliate, or a Subsidiary on the payroll records thereof. An Employee shall not include any individual during any period he or she is classified or treated by the Company, Affiliate, or Subsidiary as an independent contractor, a consultant, or any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from time to time, or any successor act thereto.</w:t>
      </w:r>
    </w:p>
    <w:p>
      <w:pPr>
        <w:spacing w:after="0" w:line="225" w:lineRule="exact"/>
        <w:rPr>
          <w:sz w:val="20"/>
          <w:szCs w:val="20"/>
          <w:color w:val="auto"/>
        </w:rPr>
      </w:pPr>
    </w:p>
    <w:p>
      <w:pPr>
        <w:ind w:right="200" w:firstLine="648"/>
        <w:spacing w:after="0" w:line="289" w:lineRule="auto"/>
        <w:rPr>
          <w:sz w:val="20"/>
          <w:szCs w:val="20"/>
          <w:color w:val="auto"/>
        </w:rPr>
      </w:pPr>
      <w:r>
        <w:rPr>
          <w:rFonts w:ascii="Arial" w:cs="Arial" w:eastAsia="Arial" w:hAnsi="Arial"/>
          <w:sz w:val="17"/>
          <w:szCs w:val="17"/>
          <w:b w:val="1"/>
          <w:bCs w:val="1"/>
          <w:color w:val="auto"/>
        </w:rPr>
        <w:t xml:space="preserve">2.19 </w:t>
      </w:r>
      <w:r>
        <w:rPr>
          <w:rFonts w:ascii="Arial" w:cs="Arial" w:eastAsia="Arial" w:hAnsi="Arial"/>
          <w:sz w:val="17"/>
          <w:szCs w:val="17"/>
          <w:color w:val="auto"/>
        </w:rPr>
        <w:t>“</w:t>
      </w:r>
      <w:r>
        <w:rPr>
          <w:rFonts w:ascii="Arial" w:cs="Arial" w:eastAsia="Arial" w:hAnsi="Arial"/>
          <w:sz w:val="17"/>
          <w:szCs w:val="17"/>
          <w:b w:val="1"/>
          <w:bCs w:val="1"/>
          <w:color w:val="auto"/>
        </w:rPr>
        <w:t>Extraordinary Items</w:t>
      </w:r>
      <w:r>
        <w:rPr>
          <w:rFonts w:ascii="Arial" w:cs="Arial" w:eastAsia="Arial" w:hAnsi="Arial"/>
          <w:sz w:val="17"/>
          <w:szCs w:val="17"/>
          <w:color w:val="auto"/>
        </w:rPr>
        <w:t>” means (a) extraordinary, unusual or nonrecurring items of gain or loss; (b) gains or losses on the disposition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 changes in tax or accounting regulations or laws; or (d) the effect of a merger or acquisition, all of which must be identified in the audited financial statements, including footnotes, or Management Discussion and Analysis section of the Company’s Annual Report on Form 10-K.</w:t>
      </w:r>
    </w:p>
    <w:p>
      <w:pPr>
        <w:spacing w:after="0" w:line="158"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2.20 </w:t>
      </w: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or “</w:t>
      </w:r>
      <w:r>
        <w:rPr>
          <w:rFonts w:ascii="Arial" w:cs="Arial" w:eastAsia="Arial" w:hAnsi="Arial"/>
          <w:sz w:val="16"/>
          <w:szCs w:val="16"/>
          <w:b w:val="1"/>
          <w:bCs w:val="1"/>
          <w:color w:val="auto"/>
        </w:rPr>
        <w:t>FMV</w:t>
      </w:r>
      <w:r>
        <w:rPr>
          <w:rFonts w:ascii="Arial" w:cs="Arial" w:eastAsia="Arial" w:hAnsi="Arial"/>
          <w:sz w:val="16"/>
          <w:szCs w:val="16"/>
          <w:color w:val="auto"/>
        </w:rPr>
        <w:t>” means, with respect to a Share, as of any date: (a) the closing sale price of a Share at the end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regular trading session, as reported by The New York Stock Exchange, The NASDAQ Stock Market, The American Stock Exchange or any 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OTC Bulletin Board or the Pink Sheets LLC, or other comparable service (or, if no Shares were traded or quoted on such date, as of the next preceding date on which there was such a trade or quote); or (c) if Shares are not so listed or reported, such price as the Committee determines in good faith, and consistent with the definition of “fair market value” under Code Section 409A.</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Full-Value Award</w:t>
      </w:r>
      <w:r>
        <w:rPr>
          <w:rFonts w:ascii="Arial" w:cs="Arial" w:eastAsia="Arial" w:hAnsi="Arial"/>
          <w:sz w:val="16"/>
          <w:szCs w:val="16"/>
          <w:color w:val="auto"/>
        </w:rPr>
        <w:t>” means an Award other than in the form of an ISO, NQSO or SAR, and which is settled by the issuance of Shares.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 Date</w:t>
      </w:r>
      <w:r>
        <w:rPr>
          <w:rFonts w:ascii="Arial" w:cs="Arial" w:eastAsia="Arial" w:hAnsi="Arial"/>
          <w:sz w:val="16"/>
          <w:szCs w:val="16"/>
          <w:color w:val="auto"/>
        </w:rPr>
        <w:t>” means the date an Award is granted to a Participant pursuant to this Plan.</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an SAR pursuant to Article 7, used to determine whether there is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due upon exercise of the SAR.</w:t>
      </w:r>
    </w:p>
    <w:p>
      <w:pPr>
        <w:spacing w:after="0" w:line="162" w:lineRule="exact"/>
        <w:rPr>
          <w:sz w:val="20"/>
          <w:szCs w:val="20"/>
          <w:color w:val="auto"/>
        </w:rPr>
      </w:pPr>
    </w:p>
    <w:p>
      <w:pPr>
        <w:ind w:right="720" w:firstLine="648"/>
        <w:spacing w:after="0" w:line="313" w:lineRule="auto"/>
        <w:rPr>
          <w:sz w:val="20"/>
          <w:szCs w:val="20"/>
          <w:color w:val="auto"/>
        </w:rPr>
      </w:pPr>
      <w:r>
        <w:rPr>
          <w:rFonts w:ascii="Arial" w:cs="Arial" w:eastAsia="Arial" w:hAnsi="Arial"/>
          <w:sz w:val="17"/>
          <w:szCs w:val="17"/>
          <w:b w:val="1"/>
          <w:bCs w:val="1"/>
          <w:color w:val="auto"/>
        </w:rPr>
        <w:t xml:space="preserve">2.24 </w:t>
      </w:r>
      <w:r>
        <w:rPr>
          <w:rFonts w:ascii="Arial" w:cs="Arial" w:eastAsia="Arial" w:hAnsi="Arial"/>
          <w:sz w:val="17"/>
          <w:szCs w:val="17"/>
          <w:color w:val="auto"/>
        </w:rPr>
        <w:t>“</w:t>
      </w:r>
      <w:r>
        <w:rPr>
          <w:rFonts w:ascii="Arial" w:cs="Arial" w:eastAsia="Arial" w:hAnsi="Arial"/>
          <w:sz w:val="17"/>
          <w:szCs w:val="17"/>
          <w:b w:val="1"/>
          <w:bCs w:val="1"/>
          <w:color w:val="auto"/>
        </w:rPr>
        <w:t>Incentive Stock Option</w:t>
      </w:r>
      <w:r>
        <w:rPr>
          <w:rFonts w:ascii="Arial" w:cs="Arial" w:eastAsia="Arial" w:hAnsi="Arial"/>
          <w:sz w:val="17"/>
          <w:szCs w:val="17"/>
          <w:color w:val="auto"/>
        </w:rPr>
        <w:t>” or “</w:t>
      </w:r>
      <w:r>
        <w:rPr>
          <w:rFonts w:ascii="Arial" w:cs="Arial" w:eastAsia="Arial" w:hAnsi="Arial"/>
          <w:sz w:val="17"/>
          <w:szCs w:val="17"/>
          <w:b w:val="1"/>
          <w:bCs w:val="1"/>
          <w:color w:val="auto"/>
        </w:rPr>
        <w:t>ISO</w:t>
      </w:r>
      <w:r>
        <w:rPr>
          <w:rFonts w:ascii="Arial" w:cs="Arial" w:eastAsia="Arial" w:hAnsi="Arial"/>
          <w:sz w:val="17"/>
          <w:szCs w:val="17"/>
          <w:color w:val="auto"/>
        </w:rPr>
        <w:t>” means an Option to purchase Shares granted pursuant to Article 6 to an Employee and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as an Incentive Stock Option that is intended to meet the requirements of Code Section 422 or any successor provision.</w:t>
      </w:r>
    </w:p>
    <w:p>
      <w:pPr>
        <w:spacing w:after="0" w:line="13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shall mean an individual who is, on the relevant date, an officer or Director of the Company, or a more than ten percent (10%)</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Beneficial Owner of any class of the Company’s equity securities that is registered pursuant to Section 12 of the Exchange Act, as determined by the Board in accordance with Section 16 of the Exchange Act.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means a Director who is not an Employee.</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color w:val="auto"/>
        </w:rPr>
        <w:t>Nonemployee Director Award</w:t>
      </w:r>
      <w:r>
        <w:rPr>
          <w:rFonts w:ascii="Arial" w:cs="Arial" w:eastAsia="Arial" w:hAnsi="Arial"/>
          <w:sz w:val="18"/>
          <w:szCs w:val="18"/>
          <w:color w:val="auto"/>
        </w:rPr>
        <w:t>” means any NQSO, SAR or Full-Value Award granted, whether singly, in combination, or in tandem, to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who is a Nonemployee Director pursuant to such applicable terms, conditions and limitations as the Board or Committee may establish in accordance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this Plan, including any Nonemployee Director Option or Nonemployee Director Shares granted pursuant to Article 11.</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 Option</w:t>
      </w:r>
      <w:r>
        <w:rPr>
          <w:rFonts w:ascii="Arial" w:cs="Arial" w:eastAsia="Arial" w:hAnsi="Arial"/>
          <w:sz w:val="16"/>
          <w:szCs w:val="16"/>
          <w:color w:val="auto"/>
        </w:rPr>
        <w:t>” has the meaning set forth in Section 11.2(a).</w:t>
      </w:r>
    </w:p>
    <w:p>
      <w:pPr>
        <w:sectPr>
          <w:pgSz w:w="11900" w:h="16838" w:orient="portrait"/>
          <w:cols w:equalWidth="0" w:num="1">
            <w:col w:w="11380"/>
          </w:cols>
          <w:pgMar w:left="240" w:top="337" w:right="279" w:bottom="0" w:gutter="0" w:footer="0" w:header="0"/>
        </w:sectPr>
      </w:pPr>
    </w:p>
    <w:bookmarkStart w:id="105" w:name="page106"/>
    <w:bookmarkEnd w:id="105"/>
    <w:p>
      <w:pPr>
        <w:spacing w:after="0" w:line="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Nonemployee Director Shares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or “</w:t>
      </w:r>
      <w:r>
        <w:rPr>
          <w:rFonts w:ascii="Arial" w:cs="Arial" w:eastAsia="Arial" w:hAnsi="Arial"/>
          <w:sz w:val="18"/>
          <w:szCs w:val="18"/>
          <w:b w:val="1"/>
          <w:bCs w:val="1"/>
          <w:color w:val="auto"/>
        </w:rPr>
        <w:t>NQSO</w:t>
      </w:r>
      <w:r>
        <w:rPr>
          <w:rFonts w:ascii="Arial" w:cs="Arial" w:eastAsia="Arial" w:hAnsi="Arial"/>
          <w:sz w:val="18"/>
          <w:szCs w:val="18"/>
          <w:color w:val="auto"/>
        </w:rPr>
        <w:t>” 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 including an NQSO granted pursuant to Article 6 and a Nonemployee Director Option granted pursuant to Article 11.</w:t>
      </w:r>
    </w:p>
    <w:p>
      <w:pPr>
        <w:spacing w:after="0" w:line="176"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an Incentive Stock Option or a Nonqualified Stock Option, granted pursuant to Article 6 or (b) a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Option, granted pursuant to Article 11.</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Price</w:t>
      </w:r>
      <w:r>
        <w:rPr>
          <w:rFonts w:ascii="Arial" w:cs="Arial" w:eastAsia="Arial" w:hAnsi="Arial"/>
          <w:sz w:val="16"/>
          <w:szCs w:val="16"/>
          <w:color w:val="auto"/>
        </w:rPr>
        <w:t>” means the price at which a Share may be purchased by a Participant pursuant to an Option.</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w:t>
      </w:r>
      <w:r>
        <w:rPr>
          <w:rFonts w:ascii="Arial" w:cs="Arial" w:eastAsia="Arial" w:hAnsi="Arial"/>
          <w:sz w:val="18"/>
          <w:szCs w:val="18"/>
          <w:b w:val="1"/>
          <w:bCs w:val="1"/>
          <w:color w:val="auto"/>
        </w:rPr>
        <w:t>Other Cash-Based Award</w:t>
      </w:r>
      <w:r>
        <w:rPr>
          <w:rFonts w:ascii="Arial" w:cs="Arial" w:eastAsia="Arial" w:hAnsi="Arial"/>
          <w:sz w:val="18"/>
          <w:szCs w:val="18"/>
          <w:color w:val="auto"/>
        </w:rPr>
        <w:t>” means an Award, denominated and paid in cash,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12.</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2.34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 Plan,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12.</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individual as set forth in Article 5 to whom an Award is granted.</w:t>
      </w:r>
    </w:p>
    <w:p>
      <w:pPr>
        <w:spacing w:after="0" w:line="225"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Performance-Based Compensation</w:t>
      </w:r>
      <w:r>
        <w:rPr>
          <w:rFonts w:ascii="Arial" w:cs="Arial" w:eastAsia="Arial" w:hAnsi="Arial"/>
          <w:sz w:val="18"/>
          <w:szCs w:val="18"/>
          <w:color w:val="auto"/>
        </w:rPr>
        <w:t>” means compensation under an Award that is intended to satisfy the requirements of Code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162(m) for certain performance-based compensation paid to Covered Employees. Notwithstanding the foregoing, nothing in this Plan shall be construed to mean that an Award which does not satisfy the requirements for performance-based compensation under Code Section 162(m) does not constitute performance-based compensation for other purposes, including Code Section 409A.</w:t>
      </w:r>
    </w:p>
    <w:p>
      <w:pPr>
        <w:spacing w:after="0" w:line="180"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2.37 </w:t>
      </w:r>
      <w:r>
        <w:rPr>
          <w:rFonts w:ascii="Arial" w:cs="Arial" w:eastAsia="Arial" w:hAnsi="Arial"/>
          <w:sz w:val="17"/>
          <w:szCs w:val="17"/>
          <w:color w:val="auto"/>
        </w:rPr>
        <w:t>“</w:t>
      </w:r>
      <w:r>
        <w:rPr>
          <w:rFonts w:ascii="Arial" w:cs="Arial" w:eastAsia="Arial" w:hAnsi="Arial"/>
          <w:sz w:val="17"/>
          <w:szCs w:val="17"/>
          <w:b w:val="1"/>
          <w:bCs w:val="1"/>
          <w:color w:val="auto"/>
        </w:rPr>
        <w:t>Performance Goals</w:t>
      </w:r>
      <w:r>
        <w:rPr>
          <w:rFonts w:ascii="Arial" w:cs="Arial" w:eastAsia="Arial" w:hAnsi="Arial"/>
          <w:sz w:val="17"/>
          <w:szCs w:val="17"/>
          <w:color w:val="auto"/>
        </w:rPr>
        <w:t>” mean with respect to any applicable Award, one or more targets, goals or levels of attainment required to be achieved</w:t>
      </w:r>
      <w:r>
        <w:rPr>
          <w:rFonts w:ascii="Arial" w:cs="Arial" w:eastAsia="Arial" w:hAnsi="Arial"/>
          <w:sz w:val="17"/>
          <w:szCs w:val="17"/>
          <w:b w:val="1"/>
          <w:bCs w:val="1"/>
          <w:color w:val="auto"/>
        </w:rPr>
        <w:t xml:space="preserve"> </w:t>
      </w:r>
      <w:r>
        <w:rPr>
          <w:rFonts w:ascii="Arial" w:cs="Arial" w:eastAsia="Arial" w:hAnsi="Arial"/>
          <w:sz w:val="17"/>
          <w:szCs w:val="17"/>
          <w:color w:val="auto"/>
        </w:rPr>
        <w:t>in terms of the specified Performance Measures during the specified Performance Period, as set forth in the related Award Agreement.</w:t>
      </w:r>
    </w:p>
    <w:p>
      <w:pPr>
        <w:spacing w:after="0" w:line="138"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 xml:space="preserve">2.38 </w:t>
      </w:r>
      <w:r>
        <w:rPr>
          <w:rFonts w:ascii="Arial" w:cs="Arial" w:eastAsia="Arial" w:hAnsi="Arial"/>
          <w:sz w:val="16"/>
          <w:szCs w:val="16"/>
          <w:color w:val="auto"/>
        </w:rPr>
        <w:t>“</w:t>
      </w:r>
      <w:r>
        <w:rPr>
          <w:rFonts w:ascii="Arial" w:cs="Arial" w:eastAsia="Arial" w:hAnsi="Arial"/>
          <w:sz w:val="16"/>
          <w:szCs w:val="16"/>
          <w:b w:val="1"/>
          <w:bCs w:val="1"/>
          <w:color w:val="auto"/>
        </w:rPr>
        <w:t>Performance Measures</w:t>
      </w:r>
      <w:r>
        <w:rPr>
          <w:rFonts w:ascii="Arial" w:cs="Arial" w:eastAsia="Arial" w:hAnsi="Arial"/>
          <w:sz w:val="16"/>
          <w:szCs w:val="16"/>
          <w:color w:val="auto"/>
        </w:rPr>
        <w:t>” mean: (a) with respect to any Award intended to qualify as Performance-Based Compensation, any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measures described in Article 15 on which the Performance Goals are based and which are approved by the Company’s shareholders pursuant to this Plan in order to qualify Awards as Performance-Based Compensation; and (b) with respect to any other Award, such performance measures as determined by the Committee in its sole discretion and set forth in the applicable Award Agreement for purposes of determining the applicable Performance Goal.</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Performance Measure Element</w:t>
      </w:r>
      <w:r>
        <w:rPr>
          <w:rFonts w:ascii="Arial" w:cs="Arial" w:eastAsia="Arial" w:hAnsi="Arial"/>
          <w:sz w:val="16"/>
          <w:szCs w:val="16"/>
          <w:color w:val="auto"/>
        </w:rPr>
        <w:t>” has the meaning set forth in Section 15.1.</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the Performance Goals must be met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determine the degree of payout or vesting with respect to an Award.</w:t>
      </w:r>
    </w:p>
    <w:p>
      <w:pPr>
        <w:spacing w:after="0" w:line="162"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b w:val="1"/>
          <w:bCs w:val="1"/>
          <w:color w:val="auto"/>
        </w:rPr>
        <w:t xml:space="preserve">2.41 </w:t>
      </w:r>
      <w:r>
        <w:rPr>
          <w:rFonts w:ascii="Arial" w:cs="Arial" w:eastAsia="Arial" w:hAnsi="Arial"/>
          <w:sz w:val="17"/>
          <w:szCs w:val="17"/>
          <w:color w:val="auto"/>
        </w:rPr>
        <w:t>“</w:t>
      </w:r>
      <w:r>
        <w:rPr>
          <w:rFonts w:ascii="Arial" w:cs="Arial" w:eastAsia="Arial" w:hAnsi="Arial"/>
          <w:sz w:val="17"/>
          <w:szCs w:val="17"/>
          <w:b w:val="1"/>
          <w:bCs w:val="1"/>
          <w:color w:val="auto"/>
        </w:rPr>
        <w:t>Performance Share</w:t>
      </w:r>
      <w:r>
        <w:rPr>
          <w:rFonts w:ascii="Arial" w:cs="Arial" w:eastAsia="Arial" w:hAnsi="Arial"/>
          <w:sz w:val="17"/>
          <w:szCs w:val="17"/>
          <w:color w:val="auto"/>
        </w:rPr>
        <w:t>” means an Award under Article 9 herein and subject to the terms of this Plan, denominated in Shares, the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at the time it is payable is determined as a function of the extent to which corresponding Performance Goals have been achieved.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herein and subject to the terms of this Plan, denominated in units, the value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it is payable is determined as a function of the extent to which corresponding Performance Goals have been achieved.</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passage of time, the achievement of Performance Goals, or upon the occurrence of other events as determined by the Committee, in its discretion), as provided in Article 8.</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2.44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 and 14(d)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“group” as defined in Section 13(d) thereof.</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Toro Company 2010 Equity and Incentive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 Year</w:t>
      </w:r>
      <w:r>
        <w:rPr>
          <w:rFonts w:ascii="Arial" w:cs="Arial" w:eastAsia="Arial" w:hAnsi="Arial"/>
          <w:sz w:val="16"/>
          <w:szCs w:val="16"/>
          <w:color w:val="auto"/>
        </w:rPr>
        <w:t>” means the Company’s fiscal year which begins November 1 and ends October 31.</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2.47 </w:t>
      </w:r>
      <w:r>
        <w:rPr>
          <w:rFonts w:ascii="Arial" w:cs="Arial" w:eastAsia="Arial" w:hAnsi="Arial"/>
          <w:sz w:val="18"/>
          <w:szCs w:val="18"/>
          <w:color w:val="auto"/>
        </w:rPr>
        <w:t>“</w:t>
      </w:r>
      <w:r>
        <w:rPr>
          <w:rFonts w:ascii="Arial" w:cs="Arial" w:eastAsia="Arial" w:hAnsi="Arial"/>
          <w:sz w:val="18"/>
          <w:szCs w:val="18"/>
          <w:b w:val="1"/>
          <w:bCs w:val="1"/>
          <w:color w:val="auto"/>
        </w:rPr>
        <w:t>Prior Plans</w:t>
      </w:r>
      <w:r>
        <w:rPr>
          <w:rFonts w:ascii="Arial" w:cs="Arial" w:eastAsia="Arial" w:hAnsi="Arial"/>
          <w:sz w:val="18"/>
          <w:szCs w:val="18"/>
          <w:color w:val="auto"/>
        </w:rPr>
        <w:t>” mean The Toro Company 2000 Stock Option Plan, The Toro Company Performance Share Plan, The Toro Company 2000</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Stock Plan and The Toro Company Annual Management Incentive Plan II.</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Stock</w:t>
      </w:r>
      <w:r>
        <w:rPr>
          <w:rFonts w:ascii="Arial" w:cs="Arial" w:eastAsia="Arial" w:hAnsi="Arial"/>
          <w:sz w:val="16"/>
          <w:szCs w:val="16"/>
          <w:color w:val="auto"/>
        </w:rPr>
        <w:t>” means an Award granted to a Participant pursuant to Article 8.</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2.49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 awarded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 the Grant Date.</w:t>
      </w:r>
    </w:p>
    <w:p>
      <w:pPr>
        <w:spacing w:after="0" w:line="162"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2.50 </w:t>
      </w: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shall have the meaning established by the Committee from time to time or, if no such meaning is established, shall mean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with the Company or any Affiliate or Subsidiary at or after age 55 and with a number of years of service that, when added together with the Participant’s age, equals at least 65.</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common stock of the Company, par value $1.00 per share.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color w:val="auto"/>
        </w:rPr>
        <w:t>SAR</w:t>
      </w:r>
      <w:r>
        <w:rPr>
          <w:rFonts w:ascii="Arial" w:cs="Arial" w:eastAsia="Arial" w:hAnsi="Arial"/>
          <w:sz w:val="16"/>
          <w:szCs w:val="16"/>
          <w:color w:val="auto"/>
        </w:rPr>
        <w:t>” means an Award, designated as an SAR, pursuant to the terms of Article 7 herein.</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2.53 “Stock-Based Award” </w:t>
      </w:r>
      <w:r>
        <w:rPr>
          <w:rFonts w:ascii="Arial" w:cs="Arial" w:eastAsia="Arial" w:hAnsi="Arial"/>
          <w:sz w:val="18"/>
          <w:szCs w:val="18"/>
          <w:color w:val="auto"/>
        </w:rPr>
        <w:t>means any equity-based or equity-related Award made pursuant to the Plan, including Options, SARs,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Restricted Stock Units, Performance Shares, Nonemployee Directors Awards and Other Stock-Based Awards.</w:t>
      </w:r>
    </w:p>
    <w:p>
      <w:pPr>
        <w:sectPr>
          <w:pgSz w:w="11900" w:h="16866" w:orient="portrait"/>
          <w:cols w:equalWidth="0" w:num="1">
            <w:col w:w="11420"/>
          </w:cols>
          <w:pgMar w:left="240" w:top="121" w:right="239" w:bottom="0" w:gutter="0" w:footer="0" w:header="0"/>
        </w:sectPr>
      </w:pPr>
    </w:p>
    <w:bookmarkStart w:id="106" w:name="page107"/>
    <w:bookmarkEnd w:id="106"/>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2.54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 interest of more than fifty percent (50%) by reason of stock ownership or otherwise.</w:t>
      </w:r>
    </w:p>
    <w:p>
      <w:pPr>
        <w:spacing w:after="0" w:line="162"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2.55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an Affiliate that: (a) are not in connection with the offer and sale of the Company’s securities in a capital raising transaction, and (b) do not directly or indirectly promote or maintain a market for the Company’s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25"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b w:val="1"/>
          <w:bCs w:val="1"/>
          <w:color w:val="auto"/>
        </w:rPr>
        <w:t>3.1 General</w:t>
      </w:r>
      <w:r>
        <w:rPr>
          <w:rFonts w:ascii="Arial" w:cs="Arial" w:eastAsia="Arial" w:hAnsi="Arial"/>
          <w:sz w:val="16"/>
          <w:szCs w:val="16"/>
          <w:color w:val="auto"/>
        </w:rPr>
        <w:t>. The Committee shall be responsible for administering this Plan, subject to this Article 3 and the other provisions of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employ attorneys, consultants, accountants, agents and other individuals, any of whom may be an Employee, and the Committee,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Company and its officers and Directors shall be entitled to rely upon the advice, opinions or valuations of any such individuals. All actions taken, and all interpretations and determinations made, by the Committee shall be final and binding upon the Participants, the Company, any Affiliate or any Subsidiary and all other interested individuals.</w:t>
      </w:r>
    </w:p>
    <w:p>
      <w:pPr>
        <w:spacing w:after="0" w:line="177" w:lineRule="exact"/>
        <w:rPr>
          <w:sz w:val="20"/>
          <w:szCs w:val="20"/>
          <w:color w:val="auto"/>
        </w:rPr>
      </w:pPr>
    </w:p>
    <w:p>
      <w:pPr>
        <w:jc w:val="both"/>
        <w:ind w:right="580" w:firstLine="648"/>
        <w:spacing w:after="0" w:line="266"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power and authority to take such actions as it deems necessary and advisable with respect to the administration of this Plan including the following:</w:t>
      </w:r>
    </w:p>
    <w:p>
      <w:pPr>
        <w:spacing w:after="0" w:line="180" w:lineRule="exact"/>
        <w:rPr>
          <w:sz w:val="20"/>
          <w:szCs w:val="20"/>
          <w:color w:val="auto"/>
        </w:rPr>
      </w:pPr>
    </w:p>
    <w:p>
      <w:pPr>
        <w:ind w:left="1300" w:right="20" w:hanging="644"/>
        <w:spacing w:after="0" w:line="259" w:lineRule="auto"/>
        <w:tabs>
          <w:tab w:leader="none" w:pos="13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186"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Fair Market Value of a Share in accordance with Section 2.20 of this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225" w:lineRule="exact"/>
        <w:rPr>
          <w:rFonts w:ascii="Arial" w:cs="Arial" w:eastAsia="Arial" w:hAnsi="Arial"/>
          <w:sz w:val="18"/>
          <w:szCs w:val="18"/>
          <w:color w:val="auto"/>
        </w:rPr>
      </w:pPr>
    </w:p>
    <w:p>
      <w:pPr>
        <w:ind w:left="1300" w:right="40" w:hanging="644"/>
        <w:spacing w:after="0" w:line="264" w:lineRule="auto"/>
        <w:tabs>
          <w:tab w:leader="none" w:pos="13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181" w:lineRule="exact"/>
        <w:rPr>
          <w:rFonts w:ascii="Arial" w:cs="Arial" w:eastAsia="Arial" w:hAnsi="Arial"/>
          <w:sz w:val="18"/>
          <w:szCs w:val="18"/>
          <w:color w:val="auto"/>
        </w:rPr>
      </w:pPr>
    </w:p>
    <w:p>
      <w:pPr>
        <w:ind w:left="1300" w:right="40" w:hanging="644"/>
        <w:spacing w:after="0" w:line="277" w:lineRule="auto"/>
        <w:tabs>
          <w:tab w:leader="none" w:pos="13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Board;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Article 16, to determine whether Awards will be adjusted for dividend equivalents, with “Dividend Equivalents” meaning a credit, made at the discretion of the Committee, to the account of a Participant in an amount equal to the cash dividends paid on one Share for each Share represented by an Award held by such Participant;</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177"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The Committee may delegate to one or more of its members or to one or more officers of the Company or any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Committee may, by resolution, authorize one or more directors of the Company to do one or both of the following on the same basis as can the Committee:</w:t>
      </w:r>
    </w:p>
    <w:p>
      <w:pPr>
        <w:spacing w:after="0" w:line="46" w:lineRule="exact"/>
        <w:rPr>
          <w:sz w:val="20"/>
          <w:szCs w:val="20"/>
          <w:color w:val="auto"/>
        </w:rPr>
      </w:pPr>
    </w:p>
    <w:p>
      <w:pPr>
        <w:ind w:firstLine="8"/>
        <w:spacing w:after="0" w:line="287" w:lineRule="auto"/>
        <w:tabs>
          <w:tab w:leader="none" w:pos="24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designate Employees to be recipients of Awards pursuant to this Plan; and (b) determine the size of any such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Committee shall not delegate such responsibilities to any such director(s) for any Awards granted to an Employee who is considered an Insider or a Covered Person; (y) the resolution providing such authorization shall set forth the type of Awards and total number of each type of Awards such director(s) may grant; and (z) the director(s) shall comply with any provisions of the Company’s bylaws applicable to committees of the Board. The Committee also may, by resolution, authorize one or more officers of the Company to do one or both of the following on the same basis as can the Committee: (A) designate Employees to be recipients of (i) Options pursuant to Article 6, (ii) SARs pursuant to Article 7, or (iii) any Award granted pursuant to this Plan denominated and paid in cash (collectively, “Officer Delegated Awards”); and (B) determine the size of any such Officer Delegated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the Committee shall not delegate such responsibilities to any such officer(s) for any Officer Delegated Awards granted to an Employee who is considered an</w:t>
      </w:r>
    </w:p>
    <w:p>
      <w:pPr>
        <w:sectPr>
          <w:pgSz w:w="11900" w:h="16838" w:orient="portrait"/>
          <w:cols w:equalWidth="0" w:num="1">
            <w:col w:w="11420"/>
          </w:cols>
          <w:pgMar w:left="240" w:top="337" w:right="239" w:bottom="0" w:gutter="0" w:footer="0" w:header="0"/>
        </w:sectPr>
      </w:pPr>
    </w:p>
    <w:bookmarkStart w:id="107" w:name="page108"/>
    <w:bookmarkEnd w:id="107"/>
    <w:p>
      <w:pPr>
        <w:ind w:right="220"/>
        <w:spacing w:after="0" w:line="277" w:lineRule="auto"/>
        <w:rPr>
          <w:sz w:val="20"/>
          <w:szCs w:val="20"/>
          <w:color w:val="auto"/>
        </w:rPr>
      </w:pPr>
      <w:r>
        <w:rPr>
          <w:rFonts w:ascii="Arial" w:cs="Arial" w:eastAsia="Arial" w:hAnsi="Arial"/>
          <w:sz w:val="18"/>
          <w:szCs w:val="18"/>
          <w:color w:val="auto"/>
        </w:rPr>
        <w:t>Insider or a Covered Person; and (y) the resolution providing such authorization shall set forth the type of Awards and total number of each type of Awards such officer(s) may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This Plan and Maximum Awards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Authorized and Available for Awards</w:t>
      </w:r>
      <w:r>
        <w:rPr>
          <w:rFonts w:ascii="Arial" w:cs="Arial" w:eastAsia="Arial" w:hAnsi="Arial"/>
          <w:sz w:val="16"/>
          <w:szCs w:val="16"/>
          <w:color w:val="auto"/>
        </w:rPr>
        <w:t>. Subject to adjustment as provided in Section 4.4 of this Plan, the number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and available for Awards under this Plan shall be determined in accordance with the following provisions:</w:t>
      </w:r>
    </w:p>
    <w:p>
      <w:pPr>
        <w:spacing w:after="0" w:line="211" w:lineRule="exact"/>
        <w:rPr>
          <w:sz w:val="20"/>
          <w:szCs w:val="20"/>
          <w:color w:val="auto"/>
        </w:rPr>
      </w:pPr>
    </w:p>
    <w:p>
      <w:pPr>
        <w:ind w:left="1300" w:right="160" w:hanging="644"/>
        <w:spacing w:after="0" w:line="264" w:lineRule="auto"/>
        <w:tabs>
          <w:tab w:leader="none" w:pos="13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maximum number of Shares available for issuance under this Plan shall be 2,750,000 shares, plus the number of Shares subject to Awards outstanding under the Prior Plans as of the Effective Date but only to the extent that such outstanding Awards are forfeited, expire or otherwise terminate without the issuance of such Shares.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more than 825,000 of the Shares authorized for issuance under this Plan may be issued pursuant to Full-Value Awards.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ISOs under this Plan shall be 2,750,000.</w:t>
      </w:r>
    </w:p>
    <w:p>
      <w:pPr>
        <w:spacing w:after="0" w:line="22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4.2 Share Usage</w:t>
      </w:r>
      <w:r>
        <w:rPr>
          <w:rFonts w:ascii="Arial" w:cs="Arial" w:eastAsia="Arial" w:hAnsi="Arial"/>
          <w:sz w:val="17"/>
          <w:szCs w:val="17"/>
          <w:color w:val="auto"/>
        </w:rPr>
        <w:t>. Shares covered by an Award shall be counted as used only to the extent they are actually issued;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subject to an SAR granted that are settled by the issuance of Shares shall be counted against the Shares authorized for issuance under this Plan, regardless of the number of Shares actually issued upon settlement of such SAR. Furthermore, any Shares withheld to satisfy tax withholding obligations on Awards issued under this Plan, any Shares withheld to pay the exercise price of Awards under this Plan and any Shares not issued or delivered as a result of the “net exercise” of an outstanding Option pursuant to Section 6.6 shall be counted against the Shares authorized for issuance under this Plan. Any Shares repurchased by the Company on the open market using the proceeds from the exercise of an Award shall not increase the number of shares available for future grant of Awards. Any Shares related to Awards under this Plan or under Prior Plans that terminate by expiration, forfeiture, cancellation or otherwise without the issuance of the Shares or are settled in cash in lieu of Shares, or are exchanged with the Committee’s permission, prior to the issuance of Shares, for Awards not involving Shares, shall be available again for grant under this Plan. The Shares available for issuance under this Plan may be authorized and unissued Shares or treasury Shares.</w:t>
      </w:r>
    </w:p>
    <w:p>
      <w:pPr>
        <w:spacing w:after="0" w:line="178"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4.3 Annual Award Limits</w:t>
      </w:r>
      <w:r>
        <w:rPr>
          <w:rFonts w:ascii="Arial" w:cs="Arial" w:eastAsia="Arial" w:hAnsi="Arial"/>
          <w:sz w:val="18"/>
          <w:szCs w:val="18"/>
          <w:color w:val="auto"/>
        </w:rPr>
        <w:t>. The following limits (each an “Annual Award Limit” and, collectively, “Annual Award Limits”), as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Sections 4.4 and 20.2, shall apply to grants of Awards unless the Committee specifically determines at the time of grant that the Award is not intended to qualify as Performance-Based Compensation under this Plan: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300" w:hanging="644"/>
        <w:spacing w:after="0" w:line="282" w:lineRule="auto"/>
        <w:tabs>
          <w:tab w:leader="none" w:pos="1297"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Options and SARs</w:t>
      </w:r>
      <w:r>
        <w:rPr>
          <w:rFonts w:ascii="Arial" w:cs="Arial" w:eastAsia="Arial" w:hAnsi="Arial"/>
          <w:sz w:val="18"/>
          <w:szCs w:val="18"/>
          <w:color w:val="auto"/>
        </w:rPr>
        <w:t>: The maximum aggregate number of Shares subject to Options and SARs granted to any one Participant in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Plan Year shall be 250,000.</w:t>
      </w:r>
    </w:p>
    <w:p>
      <w:pPr>
        <w:spacing w:after="0" w:line="161" w:lineRule="exact"/>
        <w:rPr>
          <w:rFonts w:ascii="Arial" w:cs="Arial" w:eastAsia="Arial" w:hAnsi="Arial"/>
          <w:sz w:val="18"/>
          <w:szCs w:val="18"/>
          <w:color w:val="auto"/>
        </w:rPr>
      </w:pPr>
    </w:p>
    <w:p>
      <w:pPr>
        <w:ind w:left="1300" w:right="440" w:hanging="644"/>
        <w:spacing w:after="0" w:line="282" w:lineRule="auto"/>
        <w:tabs>
          <w:tab w:leader="none" w:pos="129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r>
        <w:rPr>
          <w:rFonts w:ascii="Arial" w:cs="Arial" w:eastAsia="Arial" w:hAnsi="Arial"/>
          <w:sz w:val="18"/>
          <w:szCs w:val="18"/>
          <w:color w:val="auto"/>
        </w:rPr>
        <w:t>: The maximum aggregate number of Shares subject to Restricted Stock and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granted to any one Participant in any one Plan Year shall be 250,000.</w:t>
      </w:r>
    </w:p>
    <w:p>
      <w:pPr>
        <w:spacing w:after="0" w:line="161" w:lineRule="exact"/>
        <w:rPr>
          <w:rFonts w:ascii="Arial" w:cs="Arial" w:eastAsia="Arial" w:hAnsi="Arial"/>
          <w:sz w:val="18"/>
          <w:szCs w:val="18"/>
          <w:color w:val="auto"/>
        </w:rPr>
      </w:pPr>
    </w:p>
    <w:p>
      <w:pPr>
        <w:ind w:left="1300" w:right="40" w:hanging="644"/>
        <w:spacing w:after="0" w:line="282" w:lineRule="auto"/>
        <w:tabs>
          <w:tab w:leader="none" w:pos="1297"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Performance Units</w:t>
      </w:r>
      <w:r>
        <w:rPr>
          <w:rFonts w:ascii="Arial" w:cs="Arial" w:eastAsia="Arial" w:hAnsi="Arial"/>
          <w:sz w:val="18"/>
          <w:szCs w:val="18"/>
          <w:color w:val="auto"/>
        </w:rPr>
        <w:t>: The maximum aggregate amount awarded or credited with respect to Performance Units to any one Participant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Plan Year may not exceed $10,000,000, determined as of the date of payout.</w:t>
      </w:r>
    </w:p>
    <w:p>
      <w:pPr>
        <w:spacing w:after="0" w:line="161" w:lineRule="exact"/>
        <w:rPr>
          <w:rFonts w:ascii="Arial" w:cs="Arial" w:eastAsia="Arial" w:hAnsi="Arial"/>
          <w:sz w:val="18"/>
          <w:szCs w:val="18"/>
          <w:color w:val="auto"/>
        </w:rPr>
      </w:pPr>
    </w:p>
    <w:p>
      <w:pPr>
        <w:ind w:left="1300" w:hanging="644"/>
        <w:spacing w:after="0" w:line="282" w:lineRule="auto"/>
        <w:tabs>
          <w:tab w:leader="none" w:pos="129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Performance Shares</w:t>
      </w:r>
      <w:r>
        <w:rPr>
          <w:rFonts w:ascii="Arial" w:cs="Arial" w:eastAsia="Arial" w:hAnsi="Arial"/>
          <w:sz w:val="18"/>
          <w:szCs w:val="18"/>
          <w:color w:val="auto"/>
        </w:rPr>
        <w:t>: The maximum aggregate number of Performance Shares that a Participant may receive in any one Plan Year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250,000 Shares, determined as of the date of payout.</w:t>
      </w:r>
    </w:p>
    <w:p>
      <w:pPr>
        <w:spacing w:after="0" w:line="161" w:lineRule="exact"/>
        <w:rPr>
          <w:rFonts w:ascii="Arial" w:cs="Arial" w:eastAsia="Arial" w:hAnsi="Arial"/>
          <w:sz w:val="18"/>
          <w:szCs w:val="18"/>
          <w:color w:val="auto"/>
        </w:rPr>
      </w:pPr>
    </w:p>
    <w:p>
      <w:pPr>
        <w:ind w:left="1300" w:right="140" w:hanging="644"/>
        <w:spacing w:after="0" w:line="282" w:lineRule="auto"/>
        <w:tabs>
          <w:tab w:leader="none" w:pos="1297"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Annual Performance Awards</w:t>
      </w:r>
      <w:r>
        <w:rPr>
          <w:rFonts w:ascii="Arial" w:cs="Arial" w:eastAsia="Arial" w:hAnsi="Arial"/>
          <w:sz w:val="18"/>
          <w:szCs w:val="18"/>
          <w:color w:val="auto"/>
        </w:rPr>
        <w:t>: The maximum aggregate amount awarded or credited with respect to Annual Performance Awards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Participant in any one Plan Year may not exceed $5,000,000, determined as of the date of payout.</w:t>
      </w:r>
    </w:p>
    <w:p>
      <w:pPr>
        <w:spacing w:after="0" w:line="161" w:lineRule="exact"/>
        <w:rPr>
          <w:rFonts w:ascii="Arial" w:cs="Arial" w:eastAsia="Arial" w:hAnsi="Arial"/>
          <w:sz w:val="18"/>
          <w:szCs w:val="18"/>
          <w:color w:val="auto"/>
        </w:rPr>
      </w:pPr>
    </w:p>
    <w:p>
      <w:pPr>
        <w:ind w:left="1300" w:right="200" w:hanging="644"/>
        <w:spacing w:after="0" w:line="282" w:lineRule="auto"/>
        <w:tabs>
          <w:tab w:leader="none" w:pos="130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Other Cash-Based Awards</w:t>
      </w:r>
      <w:r>
        <w:rPr>
          <w:rFonts w:ascii="Arial" w:cs="Arial" w:eastAsia="Arial" w:hAnsi="Arial"/>
          <w:sz w:val="18"/>
          <w:szCs w:val="18"/>
          <w:color w:val="auto"/>
        </w:rPr>
        <w:t>: The maximum aggregate amount awarded or credited with respect to Other Cash-Based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$5,000,000, determined as of the date of payout.</w:t>
      </w:r>
    </w:p>
    <w:p>
      <w:pPr>
        <w:spacing w:after="0" w:line="161" w:lineRule="exact"/>
        <w:rPr>
          <w:rFonts w:ascii="Arial" w:cs="Arial" w:eastAsia="Arial" w:hAnsi="Arial"/>
          <w:sz w:val="18"/>
          <w:szCs w:val="18"/>
          <w:color w:val="auto"/>
        </w:rPr>
      </w:pPr>
    </w:p>
    <w:p>
      <w:pPr>
        <w:ind w:left="1300" w:right="120" w:hanging="644"/>
        <w:spacing w:after="0" w:line="282" w:lineRule="auto"/>
        <w:tabs>
          <w:tab w:leader="none" w:pos="1294"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r>
        <w:rPr>
          <w:rFonts w:ascii="Arial" w:cs="Arial" w:eastAsia="Arial" w:hAnsi="Arial"/>
          <w:sz w:val="18"/>
          <w:szCs w:val="18"/>
          <w:color w:val="auto"/>
        </w:rPr>
        <w:t>: The maximum aggregate amount awarded or credited with respect to Other Stock-Based Awards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in any one Plan Year may not exceed 250,000 Shares, determined as of the date of payout.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Adjustments in Authorized Shares</w:t>
      </w:r>
      <w:r>
        <w:rPr>
          <w:rFonts w:ascii="Arial" w:cs="Arial" w:eastAsia="Arial" w:hAnsi="Arial"/>
          <w:sz w:val="16"/>
          <w:szCs w:val="16"/>
          <w:color w:val="auto"/>
        </w:rPr>
        <w:t>. Adjustment in authorized Shares available for issuance under this Plan or under an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Award and adjustments in Annual Award Limits shall be subject to the following provisions:</w:t>
      </w:r>
    </w:p>
    <w:p>
      <w:pPr>
        <w:spacing w:after="0" w:line="211" w:lineRule="exact"/>
        <w:rPr>
          <w:sz w:val="20"/>
          <w:szCs w:val="20"/>
          <w:color w:val="auto"/>
        </w:rPr>
      </w:pPr>
    </w:p>
    <w:p>
      <w:pPr>
        <w:ind w:left="1300" w:right="160" w:hanging="644"/>
        <w:spacing w:after="0" w:line="270" w:lineRule="auto"/>
        <w:tabs>
          <w:tab w:leader="none" w:pos="131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Except to the extent that Section 19.1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 provided that the Committee, in its sole discretion, shall determine the methodology or manner of making such substitution or adjustment.</w:t>
      </w:r>
    </w:p>
    <w:p>
      <w:pPr>
        <w:spacing w:after="0" w:line="177" w:lineRule="exact"/>
        <w:rPr>
          <w:rFonts w:ascii="Arial" w:cs="Arial" w:eastAsia="Arial" w:hAnsi="Arial"/>
          <w:sz w:val="17"/>
          <w:szCs w:val="17"/>
          <w:color w:val="auto"/>
        </w:rPr>
      </w:pPr>
    </w:p>
    <w:p>
      <w:pPr>
        <w:ind w:left="1300" w:right="120" w:hanging="644"/>
        <w:spacing w:after="0" w:line="264" w:lineRule="auto"/>
        <w:tabs>
          <w:tab w:leader="none" w:pos="13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determination of the Committee as to the foregoing adjustments, if any, shall be conclusive and binding on Participants under this Plan.</w:t>
      </w:r>
    </w:p>
    <w:p>
      <w:pPr>
        <w:sectPr>
          <w:pgSz w:w="11900" w:h="16838" w:orient="portrait"/>
          <w:cols w:equalWidth="0" w:num="1">
            <w:col w:w="11400"/>
          </w:cols>
          <w:pgMar w:left="240" w:top="125" w:right="259" w:bottom="0" w:gutter="0" w:footer="0" w:header="0"/>
        </w:sectPr>
      </w:pPr>
    </w:p>
    <w:bookmarkStart w:id="108" w:name="page109"/>
    <w:bookmarkEnd w:id="108"/>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hanging="644"/>
        <w:spacing w:after="0" w:line="259" w:lineRule="auto"/>
        <w:tabs>
          <w:tab w:leader="none" w:pos="13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Subject to the provisions of Article 20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422 and 424, as and where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Eligibility</w:t>
      </w:r>
      <w:r>
        <w:rPr>
          <w:rFonts w:ascii="Arial" w:cs="Arial" w:eastAsia="Arial" w:hAnsi="Arial"/>
          <w:sz w:val="16"/>
          <w:szCs w:val="16"/>
          <w:color w:val="auto"/>
        </w:rPr>
        <w:t>. Individuals eligible to participate in this Plan include all Employees, Directors and Third-Party Service Providers.</w:t>
      </w:r>
    </w:p>
    <w:p>
      <w:pPr>
        <w:spacing w:after="0" w:line="225"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this Plan, the Committee may, from time to time, select from all eligible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those individuals to whom Awards shall be granted and shall determine, in its sole discretion, the nature of any and all terms permissible by law and the amount of each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Options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Options may be granted to Participants pursuant to this Article 6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number, and upon such terms, and at any time and from time to time as shall be determined by the Committee, in its sole discretion. Options may be granted to a Participant for services provided to an Affiliate only if, with respect to such Participant, the underlying Shares constitute “service recipient stock” within the meaning of Treas. Reg. Section 1.409A-1(b)(5)(iii). ISOs may be granted solely to eligible Employees of the Company or certain Subsidiaries (as permitted under Code Sections 422 and 424). To the extent that any ISO (or portion thereof) granted under this Plan ceases for any reason to qualify as an “incentive stock option” for purposes of Code Section 422, such ISO (or portion thereof) will continue to be outstanding for purposes of this Plan but will thereafter be deemed to be an NQSO.</w:t>
      </w:r>
    </w:p>
    <w:p>
      <w:pPr>
        <w:spacing w:after="0" w:line="18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 pursuant to this Article 6 shall be evidenced by an Award Agreement that shall specify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w:t>
      </w:r>
    </w:p>
    <w:p>
      <w:pPr>
        <w:spacing w:after="0" w:line="180"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 percent (100%) of the FMV of a Share as of the Option’s Grant Date.</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6.4 Term of Options</w:t>
      </w:r>
      <w:r>
        <w:rPr>
          <w:rFonts w:ascii="Arial" w:cs="Arial" w:eastAsia="Arial" w:hAnsi="Arial"/>
          <w:sz w:val="17"/>
          <w:szCs w:val="17"/>
          <w:color w:val="auto"/>
        </w:rPr>
        <w:t>. Each Option granted to a Participant pursuant to this Article 6 shall expire at such time as the Committee shall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 the time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Option shall be exercisable later than the tenth (10th) anniversary of its Grant Date, subject to any extension permitted by the Committee in accordance with Section 23.8 for Nonqualified Stock Options granted to Participants outside the United States.</w:t>
      </w:r>
    </w:p>
    <w:p>
      <w:pPr>
        <w:spacing w:after="0" w:line="15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7"/>
          <w:szCs w:val="17"/>
          <w:b w:val="1"/>
          <w:bCs w:val="1"/>
          <w:color w:val="auto"/>
        </w:rPr>
        <w:t>6.5 Exercise of Options</w:t>
      </w:r>
      <w:r>
        <w:rPr>
          <w:rFonts w:ascii="Arial" w:cs="Arial" w:eastAsia="Arial" w:hAnsi="Arial"/>
          <w:sz w:val="17"/>
          <w:szCs w:val="17"/>
          <w:color w:val="auto"/>
        </w:rPr>
        <w:t>. Options granted pursuant to this Article 6 shall be exercisable at such times and be subject to such restrictions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as the Committee shall in each instance approve, which terms and restrictions need not be the same for each grant or for each Participant. The Award Agreement for any Option granted pursuant to this Article 6 that becomes exercisable solely based on the continued service of the Participant shall provide that such Option shall become exercisable no more rapidly than ratably over a three-year period after the Grant Date of the Option, except (a) in connection with the death, Disability or Retirement of the Participant or a Change of Control; or (b) for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Option granted to a Participant who within six months of the Grant Date is first appointed or elected as an officer, hired as an employee, elected as a director or retained as a Third-Party Service Provider. Notwithstanding the foregoing, if the exercise of an Option that is exercisable in accordance with its terms is prevented by the provisions of Sections 23.4, 23.5, 23.6 or 23.7 below, the Option will remain exercisable until thirty (30) days after the date such exercise first would no longer be prevented by such provisions, but in any event no later than the expiration date of such Option.</w:t>
      </w:r>
    </w:p>
    <w:p>
      <w:pPr>
        <w:spacing w:after="0" w:line="16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6.6 Payment</w:t>
      </w:r>
      <w:r>
        <w:rPr>
          <w:rFonts w:ascii="Arial" w:cs="Arial" w:eastAsia="Arial" w:hAnsi="Arial"/>
          <w:sz w:val="18"/>
          <w:szCs w:val="18"/>
          <w:color w:val="auto"/>
        </w:rPr>
        <w:t>. Options granted under this Plan shall be exercised by the delivery of a notice of exercise to the Company or an agent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 A condition of the issuance of the Shares as to which an Option shall be exercised shall be the payment of the Option Price. The Option Price of any exercised Option shall be payable to the Company in accordance with one of the following methods:</w:t>
      </w:r>
    </w:p>
    <w:p>
      <w:pPr>
        <w:spacing w:after="0" w:line="188" w:lineRule="exact"/>
        <w:rPr>
          <w:sz w:val="20"/>
          <w:szCs w:val="20"/>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any combination of (a), (b), (c) and (d);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the case of a “net exercise” of an Option, the Company will not require a payment of the exercise price of the Option from the Participant but will reduce the number of Shares issued upon the exercise by the largest number of whole Shares that has a Fair Market Value on the exercise date that does not exceed the aggregate exercise price for the Shares exercised under this method. Shares will no longer be outstanding under an Option (and will therefore not</w:t>
      </w:r>
    </w:p>
    <w:p>
      <w:pPr>
        <w:sectPr>
          <w:pgSz w:w="11900" w:h="16925" w:orient="portrait"/>
          <w:cols w:equalWidth="0" w:num="1">
            <w:col w:w="11400"/>
          </w:cols>
          <w:pgMar w:left="240" w:top="125" w:right="259" w:bottom="0" w:gutter="0" w:footer="0" w:header="0"/>
        </w:sectPr>
      </w:pPr>
    </w:p>
    <w:bookmarkStart w:id="109" w:name="page110"/>
    <w:bookmarkEnd w:id="109"/>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thereafter be exercisable) following the exercise of such Option to the extent of (i) Shares used to pay the exercise price of an Option under the “net exercise,”</w:t>
      </w:r>
    </w:p>
    <w:p>
      <w:pPr>
        <w:spacing w:after="0" w:line="46"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Shares actually delivered to the Participant as a result of such exercise, and (iii) any Shares withheld for purposes of tax withholding pursuant to Article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 of this Plan.</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 Unless otherwise determined by the Committee, all payments under all of the methods indicated above shall be paid in United States dollars or Shares, as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7.1 Grant of SARs</w:t>
      </w:r>
      <w:r>
        <w:rPr>
          <w:rFonts w:ascii="Arial" w:cs="Arial" w:eastAsia="Arial" w:hAnsi="Arial"/>
          <w:sz w:val="18"/>
          <w:szCs w:val="18"/>
          <w:color w:val="auto"/>
        </w:rPr>
        <w:t>. Subject to the terms and conditions of this Plan, SARs may be granted to Participants at any time and from time to time as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determined by the Committee. Subject to the terms and conditions of this Plan, the Committee shall have complete discretion in determining the number of SARs granted to each Participant and, consistent with the provisions of this Plan, in determining the terms and conditions pertaining to such SARs. SARs may be granted to a Participant for services provided to an Affiliate only if, with respect to such Participant, the underlying Shares constitute “service recipient stock” within the meaning of Treas. Reg. Section 1.409A-1(b)(5)(iii).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7.2 SAR Agreement</w:t>
      </w:r>
      <w:r>
        <w:rPr>
          <w:rFonts w:ascii="Arial" w:cs="Arial" w:eastAsia="Arial" w:hAnsi="Arial"/>
          <w:sz w:val="18"/>
          <w:szCs w:val="18"/>
          <w:color w:val="auto"/>
        </w:rPr>
        <w:t>. Each SAR Award shall be evidenced by an Award Agreement that shall specify the Grant Price, the term of the SAR,</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other provisions as the Committee shall determine.</w:t>
      </w:r>
    </w:p>
    <w:p>
      <w:pPr>
        <w:spacing w:after="0" w:line="162" w:lineRule="exact"/>
        <w:rPr>
          <w:sz w:val="20"/>
          <w:szCs w:val="20"/>
          <w:color w:val="auto"/>
        </w:rPr>
      </w:pPr>
    </w:p>
    <w:p>
      <w:pPr>
        <w:ind w:right="700" w:firstLine="648"/>
        <w:spacing w:after="0" w:line="347" w:lineRule="auto"/>
        <w:rPr>
          <w:sz w:val="20"/>
          <w:szCs w:val="20"/>
          <w:color w:val="auto"/>
        </w:rPr>
      </w:pPr>
      <w:r>
        <w:rPr>
          <w:rFonts w:ascii="Arial" w:cs="Arial" w:eastAsia="Arial" w:hAnsi="Arial"/>
          <w:sz w:val="16"/>
          <w:szCs w:val="16"/>
          <w:b w:val="1"/>
          <w:bCs w:val="1"/>
          <w:color w:val="auto"/>
        </w:rPr>
        <w:t>7.3 Grant Price</w:t>
      </w:r>
      <w:r>
        <w:rPr>
          <w:rFonts w:ascii="Arial" w:cs="Arial" w:eastAsia="Arial" w:hAnsi="Arial"/>
          <w:sz w:val="16"/>
          <w:szCs w:val="16"/>
          <w:color w:val="auto"/>
        </w:rPr>
        <w:t>. The Grant Price for each grant of an SAR shall be determined by the Committee and shall be specified in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Grant Price must be at least equal to one hundred percent (100%) of the FMV of a Share as of the Grant Date.</w:t>
      </w:r>
    </w:p>
    <w:p>
      <w:pPr>
        <w:spacing w:after="0" w:line="116"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7.4 Term of SAR</w:t>
      </w:r>
      <w:r>
        <w:rPr>
          <w:rFonts w:ascii="Arial" w:cs="Arial" w:eastAsia="Arial" w:hAnsi="Arial"/>
          <w:sz w:val="16"/>
          <w:szCs w:val="16"/>
          <w:color w:val="auto"/>
        </w:rPr>
        <w:t>. The term of an SAR granted under this Plan shall be determined by the Committee, in its sole discretion,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otherwise by the Committee and specified in the SAR Award Agreement, no SAR shall be exercisable later than the tenth (10th) anniversary of its Grant Date, subject to any extension permitted by the Committee in accordance with Section 23.8 for SARs granted to Participants outside the United States.</w:t>
      </w:r>
    </w:p>
    <w:p>
      <w:pPr>
        <w:spacing w:after="0" w:line="14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7.5 Exercise of SARs</w:t>
      </w:r>
      <w:r>
        <w:rPr>
          <w:rFonts w:ascii="Arial" w:cs="Arial" w:eastAsia="Arial" w:hAnsi="Arial"/>
          <w:sz w:val="16"/>
          <w:szCs w:val="16"/>
          <w:color w:val="auto"/>
        </w:rPr>
        <w:t>. SARs may be exercised by giving notice in the same manner as that used for Options, as set forth in Section 6.6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subject to any terms and conditions the Committee, in its sole discretion, imposes. The Award Agreement for any SAR that becomes exercisable solely based on the continued service of the Participant shall provide that such SAR shall become exercisable no more rapidly than ratably over a three-year period after the Grant Date of the SAR, except (a) in connection with the death, Disability or Retirement of the Participant or a Change of Control; or (b) for any SAR granted to a Participant who within six months of the Grant Date is first appointed or elected as an officer, hired as an employee, elected as a director or retained as a Third-Party Service Provider. Notwithstanding the foregoing, if the exercise of an SAR that is exercisable in accordance with its terms is prevented by the provisions of Sections 23.4, 23.5, 23.6 or 23.7 below, the SAR will remain exercisable until thirty (30) days after the date such exercise first would no longer be prevented by such provisions, but in any event no later than the expiration date of such SAR.</w:t>
      </w:r>
    </w:p>
    <w:p>
      <w:pPr>
        <w:spacing w:after="0" w:line="160"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7.6 Settlement of SARs</w:t>
      </w:r>
      <w:r>
        <w:rPr>
          <w:rFonts w:ascii="Arial" w:cs="Arial" w:eastAsia="Arial" w:hAnsi="Arial"/>
          <w:sz w:val="18"/>
          <w:szCs w:val="18"/>
          <w:color w:val="auto"/>
        </w:rPr>
        <w:t>. Upon the exercise of an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66" w:lineRule="exact"/>
        <w:rPr>
          <w:sz w:val="20"/>
          <w:szCs w:val="20"/>
          <w:color w:val="auto"/>
        </w:rPr>
      </w:pPr>
    </w:p>
    <w:p>
      <w:pPr>
        <w:ind w:left="1320" w:hanging="6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an SAR settled in accordance with Section 7.6 of this Plan shall be made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terms of the applicable Award Agreement, in cash, Shares or a combination thereof, as the Committee determines.</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 exercise of an SAR</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this Plan as it may deem advisable or desirable. These restrictions may include a requirement that the Participant hold the Shares received upon exercise of an SAR for a specified period of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25" w:lineRule="exact"/>
        <w:rPr>
          <w:sz w:val="20"/>
          <w:szCs w:val="20"/>
          <w:color w:val="auto"/>
        </w:rPr>
      </w:pPr>
    </w:p>
    <w:p>
      <w:pPr>
        <w:ind w:right="260" w:firstLine="648"/>
        <w:spacing w:after="0" w:line="314" w:lineRule="auto"/>
        <w:rPr>
          <w:sz w:val="20"/>
          <w:szCs w:val="20"/>
          <w:color w:val="auto"/>
        </w:rPr>
      </w:pPr>
      <w:r>
        <w:rPr>
          <w:rFonts w:ascii="Arial" w:cs="Arial" w:eastAsia="Arial" w:hAnsi="Arial"/>
          <w:sz w:val="16"/>
          <w:szCs w:val="16"/>
          <w:b w:val="1"/>
          <w:bCs w:val="1"/>
          <w:color w:val="auto"/>
        </w:rPr>
        <w:t>8.1 Grant of Restricted Stock or Restricted Stock Units</w:t>
      </w:r>
      <w:r>
        <w:rPr>
          <w:rFonts w:ascii="Arial" w:cs="Arial" w:eastAsia="Arial" w:hAnsi="Arial"/>
          <w:sz w:val="16"/>
          <w:szCs w:val="16"/>
          <w:color w:val="auto"/>
        </w:rPr>
        <w:t>. Subject to the terms and provisions of this Plan, the Committee,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may grant Shares of Restricted Stock or Restricted Stock Units to Participants in such amounts as the Committee shall determine. Restricted Stock Units shall be similar to Restricted Stock except that no Shares are actually awarded to the Participant on the Grant Date.</w:t>
      </w:r>
    </w:p>
    <w:p>
      <w:pPr>
        <w:spacing w:after="0" w:line="142"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b w:val="1"/>
          <w:bCs w:val="1"/>
          <w:color w:val="auto"/>
        </w:rPr>
        <w:t>8.2 Restricted Stock or Restricted Stock Unit Agreement</w:t>
      </w:r>
      <w:r>
        <w:rPr>
          <w:rFonts w:ascii="Arial" w:cs="Arial" w:eastAsia="Arial" w:hAnsi="Arial"/>
          <w:sz w:val="16"/>
          <w:szCs w:val="16"/>
          <w:color w:val="auto"/>
        </w:rPr>
        <w:t>. Each Restricted Stock or Restricted Stock Unit grant shall be evidenced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that shall specify the Period(s) of Restriction, the number of Shares of Restricted Stock or the number of Restricted Stock Units granted,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such other provisions as the Committee shall determine. Restricted Stock Units shall be paid in cash, Shares or a combination of cash and Shares as the Committee, in its sole discretion, shall determine, and as provided in the Award Agreement.</w:t>
      </w:r>
    </w:p>
    <w:p>
      <w:pPr>
        <w:spacing w:after="0" w:line="166"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8.3 Conditions and Restrictions</w:t>
      </w:r>
      <w:r>
        <w:rPr>
          <w:rFonts w:ascii="Arial" w:cs="Arial" w:eastAsia="Arial" w:hAnsi="Arial"/>
          <w:sz w:val="16"/>
          <w:szCs w:val="16"/>
          <w:color w:val="auto"/>
        </w:rPr>
        <w:t>. The Committee shall impose such conditions or restrictions on any Shares of Restricted Stock or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granted pursuant to this Plan as it may deem advisable including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 If an Award of Restricted Stock or Restricted Stock Units vests solely based on the continued</w:t>
      </w:r>
    </w:p>
    <w:p>
      <w:pPr>
        <w:sectPr>
          <w:pgSz w:w="11900" w:h="16939" w:orient="portrait"/>
          <w:cols w:equalWidth="0" w:num="1">
            <w:col w:w="11400"/>
          </w:cols>
          <w:pgMar w:left="240" w:top="125" w:right="259" w:bottom="0" w:gutter="0" w:footer="0" w:header="0"/>
        </w:sectPr>
      </w:pPr>
    </w:p>
    <w:bookmarkStart w:id="110" w:name="page111"/>
    <w:bookmarkEnd w:id="110"/>
    <w:p>
      <w:pPr>
        <w:ind w:right="60"/>
        <w:spacing w:after="0" w:line="259" w:lineRule="auto"/>
        <w:rPr>
          <w:sz w:val="20"/>
          <w:szCs w:val="20"/>
          <w:color w:val="auto"/>
        </w:rPr>
      </w:pPr>
      <w:r>
        <w:rPr>
          <w:rFonts w:ascii="Arial" w:cs="Arial" w:eastAsia="Arial" w:hAnsi="Arial"/>
          <w:sz w:val="18"/>
          <w:szCs w:val="18"/>
          <w:color w:val="auto"/>
        </w:rPr>
        <w:t>service of the Participant, the Award Agreement shall provide that such Award shall vest no more rapidly than ratably over a three-year period after the Grant Date of the Award, except (a) in connection with the death, Disability or Retirement of the Participant or a Change of Control; or (b) for any such Award granted to a Participant who within six months of the Grant Date is first appointed or elected as an officer, hired as an employee, elected as a director or retained as a Third-Party Service Provider.</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8.4 Restricted Stock Transfer Restrictions; Lapse of Restrictions </w:t>
      </w:r>
      <w:r>
        <w:rPr>
          <w:rFonts w:ascii="Arial" w:cs="Arial" w:eastAsia="Arial" w:hAnsi="Arial"/>
          <w:sz w:val="18"/>
          <w:szCs w:val="18"/>
          <w:color w:val="auto"/>
        </w:rPr>
        <w:t>Unless otherwise determined by the Committee, until such time as all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or restrictions applicable to Shares of Restricted Stock have been satisfied or lapse, (i) all certificates representing Shares of Restricted Stock, together with duly endorsed stock powers in blank, will be held in custody by the Company or its transfer agent or (ii) any uncertificated Shares of Restricted Stock will be held at the Company’s transfer agent in book entry form in the name of the Participant with appropriate restrictions relating to the transfer of such Shares of Restricted Stock or the issuance to the Participant of a physical stock certificate representing such Shares of Restricted Stock. 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18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8.5 Certificate Legend</w:t>
      </w:r>
      <w:r>
        <w:rPr>
          <w:rFonts w:ascii="Arial" w:cs="Arial" w:eastAsia="Arial" w:hAnsi="Arial"/>
          <w:sz w:val="18"/>
          <w:szCs w:val="18"/>
          <w:color w:val="auto"/>
        </w:rPr>
        <w:t>. In addition to any legends placed on certificates or restrictions on uncertificated shares issued in book entry form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8.3, each certificate representing Shares of Restricted Stock granted pursuant to this Plan may bear a legend such as the following (and any uncertificated Shares of Restricted Stock issued in book entry form in the name of the Participant will be subject to restrictions set forth in the following legend) or as otherwise determined by the Committee in its sole discretion:</w:t>
      </w:r>
    </w:p>
    <w:p>
      <w:pPr>
        <w:spacing w:after="0" w:line="184"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color w:val="auto"/>
        </w:rPr>
        <w:t>“The sale or transfer of shares of stock represented by this certificate, whether voluntary, involuntary or by operation of law, is subject to certain restrictions on transfer as set forth in The Toro Company 2010 Equity and Incentive Plan, as may be amended from time to time (the “Plan”), and in the associated award agreement. A copy of the Plan and such award agreement may be obtained from The Toro Company.”</w:t>
      </w:r>
    </w:p>
    <w:p>
      <w:pPr>
        <w:spacing w:after="0" w:line="16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Unless otherwise determined by the Committee and set forth in a Participant’s Award Agreement, to the extent permitted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8.7 Section 83(b) Election for Restricted Stock Award</w:t>
      </w:r>
      <w:r>
        <w:rPr>
          <w:rFonts w:ascii="Arial" w:cs="Arial" w:eastAsia="Arial" w:hAnsi="Arial"/>
          <w:sz w:val="18"/>
          <w:szCs w:val="18"/>
          <w:color w:val="auto"/>
        </w:rPr>
        <w:t>. If a Participant makes an election pursuant to Code Section 83(b)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making or refraining from making an election with respect to the Award under Code Section 83(b).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Performance Units and Performance Shares</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9.1 Grant of Performance Units and Performance Shares</w:t>
      </w:r>
      <w:r>
        <w:rPr>
          <w:rFonts w:ascii="Arial" w:cs="Arial" w:eastAsia="Arial" w:hAnsi="Arial"/>
          <w:sz w:val="18"/>
          <w:szCs w:val="18"/>
          <w:color w:val="auto"/>
        </w:rPr>
        <w:t>. Subject to the terms and provisions of this Plan, the Committee,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may grant Performance Units or Performance Shares to Participants in such amounts and upon such terms as the Committee shall determine.</w:t>
      </w:r>
    </w:p>
    <w:p>
      <w:pPr>
        <w:spacing w:after="0" w:line="176" w:lineRule="exact"/>
        <w:rPr>
          <w:sz w:val="20"/>
          <w:szCs w:val="20"/>
          <w:color w:val="auto"/>
        </w:rPr>
      </w:pPr>
    </w:p>
    <w:p>
      <w:pPr>
        <w:ind w:right="500" w:firstLine="648"/>
        <w:spacing w:after="0" w:line="298" w:lineRule="auto"/>
        <w:rPr>
          <w:sz w:val="20"/>
          <w:szCs w:val="20"/>
          <w:color w:val="auto"/>
        </w:rPr>
      </w:pPr>
      <w:r>
        <w:rPr>
          <w:rFonts w:ascii="Arial" w:cs="Arial" w:eastAsia="Arial" w:hAnsi="Arial"/>
          <w:sz w:val="16"/>
          <w:szCs w:val="16"/>
          <w:b w:val="1"/>
          <w:bCs w:val="1"/>
          <w:color w:val="auto"/>
        </w:rPr>
        <w:t>9.2 Value of Performance Units and Performance Shares</w:t>
      </w:r>
      <w:r>
        <w:rPr>
          <w:rFonts w:ascii="Arial" w:cs="Arial" w:eastAsia="Arial" w:hAnsi="Arial"/>
          <w:sz w:val="16"/>
          <w:szCs w:val="16"/>
          <w:color w:val="auto"/>
        </w:rPr>
        <w:t>. Each Performance Unit shall have an initial value that is established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at the time of grant. Each Performance Share shall have an initial value equal to the Fair Market Value of a Share on the Grant Date. The Committee shall set Performance Goals in its discretion which, depending on the extent to which they are met, will determine the value or number of Performance Units or Performance Shares that will be paid out to the Participant. The Performance Period set forth in any Award Agreement for any Performance Shares shall be at least one year, except in connection with the death or Disability of the Participant or a Change of Control.</w:t>
      </w:r>
    </w:p>
    <w:p>
      <w:pPr>
        <w:spacing w:after="0" w:line="154"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9.3 Earning of Performance Units and Performance Shares</w:t>
      </w:r>
      <w:r>
        <w:rPr>
          <w:rFonts w:ascii="Arial" w:cs="Arial" w:eastAsia="Arial" w:hAnsi="Arial"/>
          <w:sz w:val="18"/>
          <w:szCs w:val="18"/>
          <w:color w:val="auto"/>
        </w:rPr>
        <w:t>. Subject to the terms of this Plan, after the applicable Performance Period has</w:t>
      </w:r>
      <w:r>
        <w:rPr>
          <w:rFonts w:ascii="Arial" w:cs="Arial" w:eastAsia="Arial" w:hAnsi="Arial"/>
          <w:sz w:val="18"/>
          <w:szCs w:val="18"/>
          <w:b w:val="1"/>
          <w:bCs w:val="1"/>
          <w:color w:val="auto"/>
        </w:rPr>
        <w:t xml:space="preserve"> </w:t>
      </w:r>
      <w:r>
        <w:rPr>
          <w:rFonts w:ascii="Arial" w:cs="Arial" w:eastAsia="Arial" w:hAnsi="Arial"/>
          <w:sz w:val="18"/>
          <w:szCs w:val="18"/>
          <w:color w:val="auto"/>
        </w:rPr>
        <w:t>ended, the holder of Performance Units or Performance Shares shall be entitled to receive payout on the value and number of Performance Units or Performance Shares earned by the Participant over the Performance Period, to be determined as a function of the extent to which the corresponding Performance Goals have been achieved.</w:t>
      </w:r>
    </w:p>
    <w:p>
      <w:pPr>
        <w:spacing w:after="0" w:line="180"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9.4 Reassignment</w:t>
      </w:r>
      <w:r>
        <w:rPr>
          <w:rFonts w:ascii="Arial" w:cs="Arial" w:eastAsia="Arial" w:hAnsi="Arial"/>
          <w:sz w:val="16"/>
          <w:szCs w:val="16"/>
          <w:color w:val="auto"/>
        </w:rPr>
        <w:t>. If prior to the end of a Performance Period, a Participant holding Performance Units or Performance Shares is reassigned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a position with the Company or any Affiliate or Subsidiary, and that position is not eligible to participate in such an Award, but the Participant does not terminate employment or service with the Company or any Affiliate or Subsidiary, as the case may be, the Committee may, in its sole discretion, cause Shares to be delivered or payment made with respect to the Participant’s Award, but only if otherwise earned and only with respect to the portion of the applicable Performance Period completed at the date of such reassignment, based on full fiscal years only, with no Shares to be delivered for partial fiscal years.</w:t>
      </w:r>
    </w:p>
    <w:p>
      <w:pPr>
        <w:spacing w:after="0" w:line="154"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9.5 Committee Discretion to Scale Back Awards</w:t>
      </w:r>
      <w:r>
        <w:rPr>
          <w:rFonts w:ascii="Arial" w:cs="Arial" w:eastAsia="Arial" w:hAnsi="Arial"/>
          <w:sz w:val="18"/>
          <w:szCs w:val="18"/>
          <w:color w:val="auto"/>
        </w:rPr>
        <w:t>. At any time during a Performance Period of more than one fiscal year,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 its discretion, cancel a portion of an Award of Performance Shares or Performance Units prior to the conclusion of the Performance Period (a “</w:t>
      </w:r>
      <w:r>
        <w:rPr>
          <w:rFonts w:ascii="Arial" w:cs="Arial" w:eastAsia="Arial" w:hAnsi="Arial"/>
          <w:sz w:val="18"/>
          <w:szCs w:val="18"/>
          <w:u w:val="single" w:color="auto"/>
          <w:color w:val="auto"/>
        </w:rPr>
        <w:t>Scale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Back</w:t>
      </w:r>
      <w:r>
        <w:rPr>
          <w:rFonts w:ascii="Arial" w:cs="Arial" w:eastAsia="Arial" w:hAnsi="Arial"/>
          <w:sz w:val="18"/>
          <w:szCs w:val="18"/>
          <w:color w:val="auto"/>
        </w:rPr>
        <w:t>”), provided that:</w:t>
      </w:r>
    </w:p>
    <w:p>
      <w:pPr>
        <w:spacing w:after="0" w:line="180" w:lineRule="exact"/>
        <w:rPr>
          <w:sz w:val="20"/>
          <w:szCs w:val="20"/>
          <w:color w:val="auto"/>
        </w:rPr>
      </w:pPr>
    </w:p>
    <w:p>
      <w:pPr>
        <w:ind w:left="1320" w:hanging="66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225"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Awards shall be Scaled Back in proportion to the estimated short fall in achievement of Performance Goals from maximum levels;</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ectPr>
          <w:pgSz w:w="11900" w:h="16838" w:orient="portrait"/>
          <w:cols w:equalWidth="0" w:num="1">
            <w:col w:w="11400"/>
          </w:cols>
          <w:pgMar w:left="240" w:top="125" w:right="259" w:bottom="0" w:gutter="0" w:footer="0" w:header="0"/>
        </w:sectPr>
      </w:pPr>
    </w:p>
    <w:bookmarkStart w:id="111" w:name="page112"/>
    <w:bookmarkEnd w:id="111"/>
    <w:p>
      <w:pPr>
        <w:spacing w:after="0" w:line="141" w:lineRule="exact"/>
        <w:rPr>
          <w:sz w:val="20"/>
          <w:szCs w:val="20"/>
          <w:color w:val="auto"/>
        </w:rPr>
      </w:pPr>
    </w:p>
    <w:p>
      <w:pPr>
        <w:ind w:left="1300" w:right="640" w:hanging="644"/>
        <w:spacing w:after="0" w:line="277" w:lineRule="auto"/>
        <w:tabs>
          <w:tab w:leader="none" w:pos="13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hanging="644"/>
        <w:spacing w:after="0" w:line="264" w:lineRule="auto"/>
        <w:tabs>
          <w:tab w:leader="none" w:pos="13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9.6 Form and Timing of Payment of Performance Units or Performance Shares</w:t>
      </w:r>
      <w:r>
        <w:rPr>
          <w:rFonts w:ascii="Arial" w:cs="Arial" w:eastAsia="Arial" w:hAnsi="Arial"/>
          <w:sz w:val="18"/>
          <w:szCs w:val="18"/>
          <w:color w:val="auto"/>
        </w:rPr>
        <w:t>. Payment of earned Performance Units or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shall be as determined by the Committee and as evidenced in the Award Agreement. Subject to the terms of this Plan, 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 may be attributable to Performance Shares or Performance Units under a Company deferred compensation plan, Common Stock units will be credited to the Participant’s account under such deferred compensation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Annual Performance Awards</w:t>
      </w:r>
    </w:p>
    <w:p>
      <w:pPr>
        <w:spacing w:after="0" w:line="225"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b w:val="1"/>
          <w:bCs w:val="1"/>
          <w:color w:val="auto"/>
        </w:rPr>
        <w:t>10.1 Grant of Annual Performance Awards</w:t>
      </w:r>
      <w:r>
        <w:rPr>
          <w:rFonts w:ascii="Arial" w:cs="Arial" w:eastAsia="Arial" w:hAnsi="Arial"/>
          <w:sz w:val="16"/>
          <w:szCs w:val="16"/>
          <w:color w:val="auto"/>
        </w:rPr>
        <w:t>. Subject to the terms and conditions of this Plan, the Committee, at any time and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may grant to Participants Awards denominated in cash in such amounts and upon such terms as the Committee may determine, based on the achievement of specified Performance Goals for annual periods or other time periods as determined by the Committee (“Annual Performance Awards”).</w:t>
      </w:r>
    </w:p>
    <w:p>
      <w:pPr>
        <w:spacing w:after="0" w:line="142"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b w:val="1"/>
          <w:bCs w:val="1"/>
          <w:color w:val="auto"/>
        </w:rPr>
        <w:t>10.2 Target Payout</w:t>
      </w:r>
      <w:r>
        <w:rPr>
          <w:rFonts w:ascii="Arial" w:cs="Arial" w:eastAsia="Arial" w:hAnsi="Arial"/>
          <w:sz w:val="17"/>
          <w:szCs w:val="17"/>
          <w:color w:val="auto"/>
        </w:rPr>
        <w:t>. The target amount that may be paid with respect to an Annual Performance Award (the “Target Payout”)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Committee pursuant to Section 15.2 and shall be based on a percentage of a Participant’s actual annual base salary at the time of grant (“Participation Factor”), within the range established by the Committee for each Participant and subject to adjustment as provided in the second to last sentence of this paragraph. The Participation Factors, which are intended to reflect a Participant’s level of responsibility, may be up to 125% for any Participant. The Chief Executive Officer may approve modifications to the foregoing Participation Factors for any Participant who is not a Covered Employee, if such modification is based on level of responsibility. The Committee may establish curves, matrices or other measurements for prorating the amount of payouts for achievement of Performance Goals at less or greater than the Target Payout.</w:t>
      </w:r>
    </w:p>
    <w:p>
      <w:pPr>
        <w:spacing w:after="0" w:line="172"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b w:val="1"/>
          <w:bCs w:val="1"/>
          <w:color w:val="auto"/>
        </w:rPr>
        <w:t>10.3 Maximum Payout</w:t>
      </w:r>
      <w:r>
        <w:rPr>
          <w:rFonts w:ascii="Arial" w:cs="Arial" w:eastAsia="Arial" w:hAnsi="Arial"/>
          <w:sz w:val="17"/>
          <w:szCs w:val="17"/>
          <w:color w:val="auto"/>
        </w:rPr>
        <w:t>. The Committee may also establish a maximum potential payout amount (the “Maximum Payout”)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Performance Award of up to 200% of the Target Payout in the event Performance Goals are exceeded by an amount established by the Committee at the time Performance Goals are established. The Committee may establish curves, matrices or other measurements for prorating the amount of payouts for achievement of Performance Goals at greater than the Target Payout but less than the Maximum Payout.</w:t>
      </w:r>
    </w:p>
    <w:p>
      <w:pPr>
        <w:spacing w:after="0" w:line="16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10.4 Division Payout</w:t>
      </w:r>
      <w:r>
        <w:rPr>
          <w:rFonts w:ascii="Arial" w:cs="Arial" w:eastAsia="Arial" w:hAnsi="Arial"/>
          <w:sz w:val="18"/>
          <w:szCs w:val="18"/>
          <w:color w:val="auto"/>
        </w:rPr>
        <w:t>. At the time an Annual Performance Award is made, the Committee may establish supplemental division-specific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(“Supplemental Division Performance Goals”) and may provide that achievement of a Supplemental Division Performance Goal at or above an established target level shall be required in order to earn a Target Payout or Maximum Payout. The Committee shall also have the discretion to reduce by an amount up to 20% the amount that would otherwise be paid under the division payout formula to a division officer or general manager based on the Committee’s evaluation of the quality of division performance.</w:t>
      </w:r>
    </w:p>
    <w:p>
      <w:pPr>
        <w:spacing w:after="0" w:line="18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10.5 Strategic Performance Measure Payout</w:t>
      </w:r>
      <w:r>
        <w:rPr>
          <w:rFonts w:ascii="Arial" w:cs="Arial" w:eastAsia="Arial" w:hAnsi="Arial"/>
          <w:sz w:val="18"/>
          <w:szCs w:val="18"/>
          <w:color w:val="auto"/>
        </w:rPr>
        <w:t>. At the time an Annual Performance Award is made, the Committee may increase the Target</w:t>
      </w:r>
      <w:r>
        <w:rPr>
          <w:rFonts w:ascii="Arial" w:cs="Arial" w:eastAsia="Arial" w:hAnsi="Arial"/>
          <w:sz w:val="18"/>
          <w:szCs w:val="18"/>
          <w:b w:val="1"/>
          <w:bCs w:val="1"/>
          <w:color w:val="auto"/>
        </w:rPr>
        <w:t xml:space="preserve"> </w:t>
      </w:r>
      <w:r>
        <w:rPr>
          <w:rFonts w:ascii="Arial" w:cs="Arial" w:eastAsia="Arial" w:hAnsi="Arial"/>
          <w:sz w:val="18"/>
          <w:szCs w:val="18"/>
          <w:color w:val="auto"/>
        </w:rPr>
        <w:t>Payout and the Maximum Payout (as either may be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prorated in accordance with Sections 10.2 and 10.3) by up to 20% but to not more than 200% of the Target Payout, for selected Participants (“Strategic Performance Participants”), to reflect individual strategic performance measures (“SPM Performance Goals”) established at that time by the Committee. The Committee shall have the discretion to reduce by an amount up to 20% the amount that would otherwise be paid under the payout formula to a Strategic Performance Participant based on the Committee’s evaluation of the individual’s achievement of the SPM Performance Goal.</w:t>
      </w:r>
    </w:p>
    <w:p>
      <w:pPr>
        <w:spacing w:after="0" w:line="16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10.6 Payment</w:t>
      </w:r>
      <w:r>
        <w:rPr>
          <w:rFonts w:ascii="Arial" w:cs="Arial" w:eastAsia="Arial" w:hAnsi="Arial"/>
          <w:sz w:val="18"/>
          <w:szCs w:val="18"/>
          <w:color w:val="auto"/>
        </w:rPr>
        <w:t>. Payment of any earned Annual Performance Awards will be made as soon as possible after the Committee has determined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to which the applicable Performance Goals have been achieved and not later than the last day of the short term deferral period determined in accordance with Treas. Reg. Sec. 1.409A-1(b)(4), except to the extent that a Participant has properly elected to defer income that may be attributable to an Annual Performance Award under a Company deferred compensation plan or arrangement.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Nonemployee Director Awards</w:t>
      </w:r>
    </w:p>
    <w:p>
      <w:pPr>
        <w:spacing w:after="0" w:line="225"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11.1 Nonemployee Director Shares</w:t>
      </w:r>
      <w:r>
        <w:rPr>
          <w:rFonts w:ascii="Arial" w:cs="Arial" w:eastAsia="Arial" w:hAnsi="Arial"/>
          <w:sz w:val="17"/>
          <w:szCs w:val="17"/>
          <w:color w:val="auto"/>
        </w:rPr>
        <w:t>. On the first business day of each fiscal year, the Company shall issue to each person who is then a</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 Shares in an amount equal to $20,000 (or such other amount as may be determined by the Committee from time to time) divided by the three-month fair market value of one Share, rounded down to the greatest number of whole Shares (“Nonemployee Director Shares”), subject to adjustment as provided in Section 4.4(a) hereof. “Three-month fair market value” for the purpose of this Section 11.1 shall be the average of the closing sale prices of one Share at the end of the regular trading session for each of the trading days in the three calendar months immediately prior to the date of issue of the Nonemployee Director Shares, as reported by The New York Stock Exchange.</w:t>
      </w:r>
    </w:p>
    <w:p>
      <w:pPr>
        <w:spacing w:after="0" w:line="17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Nonemployee Director Options</w:t>
      </w:r>
      <w:r>
        <w:rPr>
          <w:rFonts w:ascii="Arial" w:cs="Arial" w:eastAsia="Arial" w:hAnsi="Arial"/>
          <w:sz w:val="16"/>
          <w:szCs w:val="16"/>
          <w:color w:val="auto"/>
        </w:rPr>
        <w:t>.</w:t>
      </w:r>
    </w:p>
    <w:p>
      <w:pPr>
        <w:spacing w:after="0" w:line="225" w:lineRule="exact"/>
        <w:rPr>
          <w:sz w:val="20"/>
          <w:szCs w:val="20"/>
          <w:color w:val="auto"/>
        </w:rPr>
      </w:pPr>
    </w:p>
    <w:p>
      <w:pPr>
        <w:ind w:left="1300" w:right="260" w:hanging="644"/>
        <w:spacing w:after="0" w:line="347" w:lineRule="auto"/>
        <w:tabs>
          <w:tab w:leader="none" w:pos="131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Annual Grant</w:t>
      </w:r>
      <w:r>
        <w:rPr>
          <w:rFonts w:ascii="Arial" w:cs="Arial" w:eastAsia="Arial" w:hAnsi="Arial"/>
          <w:sz w:val="16"/>
          <w:szCs w:val="16"/>
          <w:color w:val="auto"/>
        </w:rPr>
        <w:t>. Subject to the terms and conditions of this Section 11.2, on the first business day of each fiscal year,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grant to each person who is then a Nonemployee Director, a Nonqualified Stock Option to purchase Shares (a “Nonemployee Director</w:t>
      </w:r>
    </w:p>
    <w:p>
      <w:pPr>
        <w:sectPr>
          <w:pgSz w:w="11900" w:h="16979" w:orient="portrait"/>
          <w:cols w:equalWidth="0" w:num="1">
            <w:col w:w="11380"/>
          </w:cols>
          <w:pgMar w:left="240" w:top="125" w:right="279" w:bottom="0" w:gutter="0" w:footer="0" w:header="0"/>
        </w:sectPr>
      </w:pPr>
    </w:p>
    <w:bookmarkStart w:id="112" w:name="page113"/>
    <w:bookmarkEnd w:id="112"/>
    <w:p>
      <w:pPr>
        <w:ind w:left="1300" w:right="60"/>
        <w:spacing w:after="0" w:line="259" w:lineRule="auto"/>
        <w:rPr>
          <w:sz w:val="20"/>
          <w:szCs w:val="20"/>
          <w:color w:val="auto"/>
        </w:rPr>
      </w:pPr>
      <w:r>
        <w:rPr>
          <w:rFonts w:ascii="Arial" w:cs="Arial" w:eastAsia="Arial" w:hAnsi="Arial"/>
          <w:sz w:val="18"/>
          <w:szCs w:val="18"/>
          <w:color w:val="auto"/>
        </w:rPr>
        <w:t>Option”). Each Nonemployee Director Option shall have a grant date fair value of $40,000 (or such other amount as may be determined by the Committee from time to time), determined using a standard Black-Scholes, binomial or monte carlo valuation formula, based on assumptions consistent with those used to value option grants disclosed under Schedule 14A under the Exchange Act or successor requirements, for the business day prior to the Grant Date.</w:t>
      </w:r>
    </w:p>
    <w:p>
      <w:pPr>
        <w:spacing w:after="0" w:line="183" w:lineRule="exact"/>
        <w:rPr>
          <w:sz w:val="20"/>
          <w:szCs w:val="20"/>
          <w:color w:val="auto"/>
        </w:rPr>
      </w:pPr>
    </w:p>
    <w:p>
      <w:pPr>
        <w:ind w:left="1300" w:right="220" w:hanging="644"/>
        <w:spacing w:after="0" w:line="282" w:lineRule="auto"/>
        <w:tabs>
          <w:tab w:leader="none" w:pos="1307"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for each grant of a Nonemployee Director Option shall be one hundred percent (100%) of the FMV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 as of the Option’s Grant Date.</w:t>
      </w:r>
    </w:p>
    <w:p>
      <w:pPr>
        <w:spacing w:after="0" w:line="161" w:lineRule="exact"/>
        <w:rPr>
          <w:rFonts w:ascii="Arial" w:cs="Arial" w:eastAsia="Arial" w:hAnsi="Arial"/>
          <w:sz w:val="18"/>
          <w:szCs w:val="18"/>
          <w:color w:val="auto"/>
        </w:rPr>
      </w:pPr>
    </w:p>
    <w:p>
      <w:pPr>
        <w:jc w:val="both"/>
        <w:ind w:left="1300" w:right="40" w:hanging="644"/>
        <w:spacing w:after="0" w:line="266" w:lineRule="auto"/>
        <w:tabs>
          <w:tab w:leader="none" w:pos="131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Vesting; Term</w:t>
      </w:r>
      <w:r>
        <w:rPr>
          <w:rFonts w:ascii="Arial" w:cs="Arial" w:eastAsia="Arial" w:hAnsi="Arial"/>
          <w:sz w:val="18"/>
          <w:szCs w:val="18"/>
          <w:color w:val="auto"/>
        </w:rPr>
        <w:t>. Except as provided in Articles 13 and 19, Nonemployee Director Options shall vest and become exercisable in three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on each of the first, second and third anniversaries following the Grant Date, and shall remain exercisable for a term of ten (10) years after the Grant Date.</w:t>
      </w:r>
    </w:p>
    <w:p>
      <w:pPr>
        <w:spacing w:after="0" w:line="176" w:lineRule="exact"/>
        <w:rPr>
          <w:rFonts w:ascii="Arial" w:cs="Arial" w:eastAsia="Arial" w:hAnsi="Arial"/>
          <w:sz w:val="18"/>
          <w:szCs w:val="18"/>
          <w:color w:val="auto"/>
        </w:rPr>
      </w:pPr>
    </w:p>
    <w:p>
      <w:pPr>
        <w:ind w:left="1300" w:right="100" w:hanging="644"/>
        <w:spacing w:after="0" w:line="282" w:lineRule="auto"/>
        <w:tabs>
          <w:tab w:leader="none" w:pos="1307"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Exercise and Payment of Exercise Price</w:t>
      </w:r>
      <w:r>
        <w:rPr>
          <w:rFonts w:ascii="Arial" w:cs="Arial" w:eastAsia="Arial" w:hAnsi="Arial"/>
          <w:sz w:val="18"/>
          <w:szCs w:val="18"/>
          <w:color w:val="auto"/>
        </w:rPr>
        <w:t>. Nonemployee Director Options may be exercised by giving notice and paying the Option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6.6 of this Plan.</w:t>
      </w:r>
    </w:p>
    <w:p>
      <w:pPr>
        <w:spacing w:after="0" w:line="16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11.3 Share Proration</w:t>
      </w:r>
      <w:r>
        <w:rPr>
          <w:rFonts w:ascii="Arial" w:cs="Arial" w:eastAsia="Arial" w:hAnsi="Arial"/>
          <w:sz w:val="18"/>
          <w:szCs w:val="18"/>
          <w:color w:val="auto"/>
        </w:rPr>
        <w:t>. If, on any date on which Nonemployee Director Shares are to be issued pursuant to Section 11.1 or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Options are to be granted pursuant to Section 11.2, the number of Shares is insufficient for the issuance of the entire number of Nonemployee Director Shares to be issued or for the grant of the entire number of Nonemployee Director Options, as calculated in accordance with Section 11.1 or Section 11.2, respectively, then the number of Nonemployee Director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Shares to be issued and Nonemployee Director Options to be granted to each Nonemployee Director entitled to receive Nonemployee Director Shares or Nonemployee Director Options on such date shall be such Nonemployee Director’s proportionate share of the available number of such Shares and Options (rounded down to the greatest number of whole shares), provided that if a sufficient number of Shares is available to issue all of the Nonemployee Director Shares, then the entire number of Nonemployee Director Shares shall be issued first and the number of shares to be subjected to Nonemployee Director Options shall be prorated in accordance with this section.</w:t>
      </w:r>
    </w:p>
    <w:p>
      <w:pPr>
        <w:spacing w:after="0" w:line="18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11.4 Shares in Lieu of Retainers and Other Director Fees</w:t>
      </w:r>
      <w:r>
        <w:rPr>
          <w:rFonts w:ascii="Arial" w:cs="Arial" w:eastAsia="Arial" w:hAnsi="Arial"/>
          <w:sz w:val="18"/>
          <w:szCs w:val="18"/>
          <w:color w:val="auto"/>
        </w:rPr>
        <w:t>. A Nonemployee Director shall have the right to elect to receive Shares in lieu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Board, chair and other retainers and meeting fees otherwise payable in cash. The election to receive Shares shall be made prior to the date retainers and fees are otherwise scheduled to be paid but not later than May 31 of the calendar year for which the retainers and fees are to be paid. Retainers and fees that are earned after the date a Nonemployee Director makes an election shall be reserved through the rest of the calendar year and Shares shall be issued in December of that year. The number of Shares to be issued shall be determined by dividing the dollar amount of reserved retainers and fees by the Fair Market Value of one Share on the date that the Shares are issued.</w:t>
      </w:r>
    </w:p>
    <w:p>
      <w:pPr>
        <w:spacing w:after="0" w:line="188"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11.5 Award Agreement</w:t>
      </w:r>
      <w:r>
        <w:rPr>
          <w:rFonts w:ascii="Arial" w:cs="Arial" w:eastAsia="Arial" w:hAnsi="Arial"/>
          <w:sz w:val="18"/>
          <w:szCs w:val="18"/>
          <w:color w:val="auto"/>
        </w:rPr>
        <w:t>. The terms and conditions of any grant of any Award to a Nonemployee Director shall be set forth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11.6 Other Awards to Nonemployee Directors; Deferral of Award Payment</w:t>
      </w:r>
      <w:r>
        <w:rPr>
          <w:rFonts w:ascii="Arial" w:cs="Arial" w:eastAsia="Arial" w:hAnsi="Arial"/>
          <w:sz w:val="18"/>
          <w:szCs w:val="18"/>
          <w:color w:val="auto"/>
        </w:rPr>
        <w:t>. The Committee (which shall consist solely of directors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(as defined in the rules of the New York Stock Exchange)) may (a) grant to Nonemployee Directors other types of Awards pursuant to such terms and conditions as the Board or Committee may prescribe and set forth in an applicable subplan or Award Agreement; or (b) permit a Nonemployee Director the opportunity to defer the grant or payment of an Award pursuant to such terms and conditions as the Committee may prescribe and set forth in any applicable subplan or Award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Other Cash-Based Awards and Other Stock-Based Awards</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12.1 Other Cash-Based Awards</w:t>
      </w:r>
      <w:r>
        <w:rPr>
          <w:rFonts w:ascii="Arial" w:cs="Arial" w:eastAsia="Arial" w:hAnsi="Arial"/>
          <w:sz w:val="18"/>
          <w:szCs w:val="18"/>
          <w:color w:val="auto"/>
        </w:rPr>
        <w:t>. Subject to the terms and provisions of this Plan, the Committee, at any time and from time to time, may grant</w:t>
      </w:r>
      <w:r>
        <w:rPr>
          <w:rFonts w:ascii="Arial" w:cs="Arial" w:eastAsia="Arial" w:hAnsi="Arial"/>
          <w:sz w:val="18"/>
          <w:szCs w:val="18"/>
          <w:b w:val="1"/>
          <w:bCs w:val="1"/>
          <w:color w:val="auto"/>
        </w:rPr>
        <w:t xml:space="preserve"> </w:t>
      </w:r>
      <w:r>
        <w:rPr>
          <w:rFonts w:ascii="Arial" w:cs="Arial" w:eastAsia="Arial" w:hAnsi="Arial"/>
          <w:sz w:val="18"/>
          <w:szCs w:val="18"/>
          <w:color w:val="auto"/>
        </w:rPr>
        <w:t>Other Cash-Based Awards to Participants in such amounts and upon such terms as the Committee may determine.</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12.2 Other Stock-Based Awards</w:t>
      </w:r>
      <w:r>
        <w:rPr>
          <w:rFonts w:ascii="Arial" w:cs="Arial" w:eastAsia="Arial" w:hAnsi="Arial"/>
          <w:sz w:val="18"/>
          <w:szCs w:val="18"/>
          <w:color w:val="auto"/>
        </w:rPr>
        <w:t>. Subject to the terms and provisions of this Plan, the Committee may grant Other Stock-Based Awards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Awards designed to comply with or take advantage of the applicable local laws of jurisdictions other than the United States.</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12.3 Value of Other Cash-Based Awards and Other Stock-Based Awards</w:t>
      </w:r>
      <w:r>
        <w:rPr>
          <w:rFonts w:ascii="Arial" w:cs="Arial" w:eastAsia="Arial" w:hAnsi="Arial"/>
          <w:sz w:val="17"/>
          <w:szCs w:val="17"/>
          <w:color w:val="auto"/>
        </w:rPr>
        <w:t>. Each Other Cash-Based Award shall specify a payment amount or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range as determined by the Committee. Each Other Stock-Based Award shall be expressed in terms of Shares or units based on Shares, as determined by the Committee. The Committee may establish Performance Goals in its discretion for any Other Cash-Based Award or any Other Stock-Based Award. If the Committee exercises its discretion to establish Performance Goals for any such Awards, the number or value of Other Cash-Based Awards or Other Stock-Based Awards that will be paid out to the Participant will depend on the extent to which the Performance Goals are met.</w:t>
      </w:r>
    </w:p>
    <w:p>
      <w:pPr>
        <w:spacing w:after="0" w:line="168"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12.4 Payment of Other Cash-Based Awards and Other Stock-Based Awards</w:t>
      </w:r>
      <w:r>
        <w:rPr>
          <w:rFonts w:ascii="Arial" w:cs="Arial" w:eastAsia="Arial" w:hAnsi="Arial"/>
          <w:sz w:val="18"/>
          <w:szCs w:val="18"/>
          <w:color w:val="auto"/>
        </w:rPr>
        <w:t>. Payment, if any, with respect to an Other Cash-Based Award</w:t>
      </w:r>
      <w:r>
        <w:rPr>
          <w:rFonts w:ascii="Arial" w:cs="Arial" w:eastAsia="Arial" w:hAnsi="Arial"/>
          <w:sz w:val="18"/>
          <w:szCs w:val="18"/>
          <w:b w:val="1"/>
          <w:bCs w:val="1"/>
          <w:color w:val="auto"/>
        </w:rPr>
        <w:t xml:space="preserve"> </w:t>
      </w:r>
      <w:r>
        <w:rPr>
          <w:rFonts w:ascii="Arial" w:cs="Arial" w:eastAsia="Arial" w:hAnsi="Arial"/>
          <w:sz w:val="18"/>
          <w:szCs w:val="18"/>
          <w:color w:val="auto"/>
        </w:rPr>
        <w:t>or an Other Stock-Based Award shall be made in accordance with the terms of the Award, in cash for any Other Cash-Based Award and in cash or Shares for any Other Stock-Based Award, as the Committee determines.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Termination of Service</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following provisions shall apply upon termination of a Participant’s employment or other service with the Company or any Affiliate or</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Subsidiary, as the case may be, except to the extent that the Committee provides otherwise in an Award Agreement evidencing an Award at the time of grant</w:t>
      </w:r>
    </w:p>
    <w:p>
      <w:pPr>
        <w:sectPr>
          <w:pgSz w:w="11900" w:h="16838" w:orient="portrait"/>
          <w:cols w:equalWidth="0" w:num="1">
            <w:col w:w="11420"/>
          </w:cols>
          <w:pgMar w:left="240" w:top="125" w:right="239" w:bottom="0" w:gutter="0" w:footer="0" w:header="0"/>
        </w:sectPr>
      </w:pPr>
    </w:p>
    <w:bookmarkStart w:id="113" w:name="page114"/>
    <w:bookmarkEnd w:id="113"/>
    <w:p>
      <w:pPr>
        <w:ind w:right="640"/>
        <w:spacing w:after="0" w:line="277" w:lineRule="auto"/>
        <w:rPr>
          <w:sz w:val="20"/>
          <w:szCs w:val="20"/>
          <w:color w:val="auto"/>
        </w:rPr>
      </w:pPr>
      <w:r>
        <w:rPr>
          <w:rFonts w:ascii="Arial" w:cs="Arial" w:eastAsia="Arial" w:hAnsi="Arial"/>
          <w:sz w:val="18"/>
          <w:szCs w:val="18"/>
          <w:color w:val="auto"/>
        </w:rPr>
        <w:t>or determines otherwise pursuant to Section 13.4 of this Plan (and such provisions and determinations need not be uniform among all Awards granted pursuant to this Plan).</w:t>
      </w:r>
    </w:p>
    <w:p>
      <w:pPr>
        <w:spacing w:after="0" w:line="166"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b w:val="1"/>
          <w:bCs w:val="1"/>
          <w:color w:val="auto"/>
        </w:rPr>
        <w:t>13.1 Effect of Termination Due to Death or Disability</w:t>
      </w:r>
      <w:r>
        <w:rPr>
          <w:rFonts w:ascii="Arial" w:cs="Arial" w:eastAsia="Arial" w:hAnsi="Arial"/>
          <w:sz w:val="17"/>
          <w:szCs w:val="17"/>
          <w:color w:val="auto"/>
        </w:rPr>
        <w:t>. Subject to Section 13.6 of this Plan, in the event a Participant’s employment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with the Company or any Affiliate or Subsidiary, as the case may be, is terminated by reason of death or Disability:</w:t>
      </w:r>
    </w:p>
    <w:p>
      <w:pPr>
        <w:spacing w:after="0" w:line="142" w:lineRule="exact"/>
        <w:rPr>
          <w:sz w:val="20"/>
          <w:szCs w:val="20"/>
          <w:color w:val="auto"/>
        </w:rPr>
      </w:pPr>
    </w:p>
    <w:p>
      <w:pPr>
        <w:ind w:left="1300" w:right="100" w:hanging="644"/>
        <w:spacing w:after="0" w:line="264" w:lineRule="auto"/>
        <w:tabs>
          <w:tab w:leader="none" w:pos="13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outstanding Options (including Nonemployee Director Options) and SARs held by the Participant as of the effective date of such termination shall become immediately exercisable in full and will remain exercisable for a period of one year after such termination (but in no event after the expiration date of any such Option or SAR)</w:t>
      </w:r>
    </w:p>
    <w:p>
      <w:pPr>
        <w:spacing w:after="0" w:line="181"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70" w:lineRule="exact"/>
        <w:rPr>
          <w:rFonts w:ascii="Arial" w:cs="Arial" w:eastAsia="Arial" w:hAnsi="Arial"/>
          <w:sz w:val="18"/>
          <w:szCs w:val="18"/>
          <w:color w:val="auto"/>
        </w:rPr>
      </w:pPr>
    </w:p>
    <w:p>
      <w:pPr>
        <w:ind w:left="1300" w:right="60" w:hanging="644"/>
        <w:spacing w:after="0" w:line="288" w:lineRule="auto"/>
        <w:tabs>
          <w:tab w:leader="none" w:pos="13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All outstanding but unpaid Restricted Stock Units, Performance Shares, Performance Units, Other Cash-Based Awards and Other Stock-Based Awards held by the Participant as of the effective date of such termination shall be terminated and forfeited;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Performance Shares or Performance Units, if a Participant’s employment or other service with the Company or any Affiliate or Subsidiary, as the case may be, is terminated by reason of death or Disability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169" w:lineRule="exact"/>
        <w:rPr>
          <w:rFonts w:ascii="Arial" w:cs="Arial" w:eastAsia="Arial" w:hAnsi="Arial"/>
          <w:sz w:val="16"/>
          <w:szCs w:val="16"/>
          <w:color w:val="auto"/>
        </w:rPr>
      </w:pPr>
    </w:p>
    <w:p>
      <w:pPr>
        <w:ind w:left="1300" w:hanging="644"/>
        <w:spacing w:after="0" w:line="279" w:lineRule="auto"/>
        <w:tabs>
          <w:tab w:leader="none" w:pos="13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effective date of such termination is before the end of the Performance Period to which an Annual Performance Award relates, then any such Annual Performance Award held by a Participant shall be terminated and forfeited; if the effective date of such termination is on or after the end of the Performance Period to which an Annual Performance Award relates, then any such Annual Performance Award held by a Participant shall be paid to the Participant in accordance with the payment terms of such Award.</w:t>
      </w:r>
    </w:p>
    <w:p>
      <w:pPr>
        <w:spacing w:after="0" w:line="167"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b w:val="1"/>
          <w:bCs w:val="1"/>
          <w:color w:val="auto"/>
        </w:rPr>
        <w:t>13.2 Effect of Termination Due to Retirement</w:t>
      </w:r>
      <w:r>
        <w:rPr>
          <w:rFonts w:ascii="Arial" w:cs="Arial" w:eastAsia="Arial" w:hAnsi="Arial"/>
          <w:sz w:val="16"/>
          <w:szCs w:val="16"/>
          <w:color w:val="auto"/>
        </w:rPr>
        <w:t>. Subject to Section 13.6 of this Plan, in the event a Participant’s employment or other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or any Affiliate or Subsidiary, as the case may be, is terminated by reason of Retirement (except with respect to Nonemployee Directors):</w:t>
      </w:r>
    </w:p>
    <w:p>
      <w:pPr>
        <w:spacing w:after="0" w:line="120" w:lineRule="exact"/>
        <w:rPr>
          <w:sz w:val="20"/>
          <w:szCs w:val="20"/>
          <w:color w:val="auto"/>
        </w:rPr>
      </w:pPr>
    </w:p>
    <w:p>
      <w:pPr>
        <w:ind w:left="1300" w:right="100" w:hanging="644"/>
        <w:spacing w:after="0" w:line="259" w:lineRule="auto"/>
        <w:tabs>
          <w:tab w:leader="none" w:pos="13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Retirement shall remain outstanding and exercisable and shall continue to vest and become exercisable in accordance with their terms for a period of four years after the date of such Retirement (but in no event shall be exercisable after the expiration date of any such Option or SAR);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hanging="644"/>
        <w:spacing w:after="0" w:line="277" w:lineRule="auto"/>
        <w:tabs>
          <w:tab w:leader="none" w:pos="130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Retirement that have not vested as of the date of such Retirement shall be terminated and forfeited;</w:t>
      </w:r>
    </w:p>
    <w:p>
      <w:pPr>
        <w:spacing w:after="0" w:line="170" w:lineRule="exact"/>
        <w:rPr>
          <w:rFonts w:ascii="Arial" w:cs="Arial" w:eastAsia="Arial" w:hAnsi="Arial"/>
          <w:sz w:val="18"/>
          <w:szCs w:val="18"/>
          <w:color w:val="auto"/>
        </w:rPr>
      </w:pPr>
    </w:p>
    <w:p>
      <w:pPr>
        <w:ind w:left="1300" w:right="60" w:hanging="644"/>
        <w:spacing w:after="0" w:line="288" w:lineRule="auto"/>
        <w:tabs>
          <w:tab w:leader="none" w:pos="13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All outstanding but unpaid Restricted Stock Units, Performance Shares, Performance Units, Other Cash-Based Awards and Other Stock-Based Awards held by the Participant as of the effective date of such Retirement shall be terminated and forfeited;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Performance Shares or Performance Units, if a Participant’s employment or other service with the Company or any Affiliate or Subsidiary, as the case may be, is terminated by reason of Retirement prior to the end of the Performance Period of such Award, but after the conclusion of a portion of the Performance Period (but in no event less than one year), the Committee may, in its sole discretion, cause Shares to be delivered or payment made with respect to the Participant’s Award, but only if otherwise earned for the entire Performance Period and only with respect to the portion of the applicable Performance Period completed at the date of such event, with proration based on full fiscal years only and no shares to be delivered for partial fiscal years. The Committee shall consider the provisions of Section 13.6 of this Plan and shall have the discretion to consider any other fact or circumstance in making its decision as to whether to deliver such Shares, including whether the Participant again becomes employed; and</w:t>
      </w:r>
    </w:p>
    <w:p>
      <w:pPr>
        <w:spacing w:after="0" w:line="169" w:lineRule="exact"/>
        <w:rPr>
          <w:rFonts w:ascii="Arial" w:cs="Arial" w:eastAsia="Arial" w:hAnsi="Arial"/>
          <w:sz w:val="16"/>
          <w:szCs w:val="16"/>
          <w:color w:val="auto"/>
        </w:rPr>
      </w:pPr>
    </w:p>
    <w:p>
      <w:pPr>
        <w:ind w:left="1300" w:right="40" w:hanging="644"/>
        <w:spacing w:after="0" w:line="276" w:lineRule="auto"/>
        <w:tabs>
          <w:tab w:leader="none" w:pos="1307"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If the effective date of such Retirement is before the end of the Performance Period to which an Annual Performance Award relates, then any such Annual Performance Award held by a Participant shall be terminated and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in its sole discretion, cause payment to be made with respect to the Participant’s Annual Performance Award and in accordance with the payment terms of such award, but only if otherwise earned for the entire Performance Period and only with respect to the portion of the Performance Period completed as of the date of such Retirement.</w:t>
      </w:r>
    </w:p>
    <w:p>
      <w:pPr>
        <w:spacing w:after="0" w:line="16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13.3 Effect of Termination for Reasons Other than Death, Disability or Retirement</w:t>
      </w:r>
      <w:r>
        <w:rPr>
          <w:rFonts w:ascii="Arial" w:cs="Arial" w:eastAsia="Arial" w:hAnsi="Arial"/>
          <w:sz w:val="18"/>
          <w:szCs w:val="18"/>
          <w:color w:val="auto"/>
        </w:rPr>
        <w:t>. Subject to Section 13.6 of this Plan, in the event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other service with the Company or any Affiliate or Subsidiary, as the case may be, is terminated for any reason other than death, Disability or Retirement (except with respect to Nonemployee Directors):</w:t>
      </w:r>
    </w:p>
    <w:p>
      <w:pPr>
        <w:spacing w:after="0" w:line="180" w:lineRule="exact"/>
        <w:rPr>
          <w:sz w:val="20"/>
          <w:szCs w:val="20"/>
          <w:color w:val="auto"/>
        </w:rPr>
      </w:pPr>
    </w:p>
    <w:p>
      <w:pPr>
        <w:ind w:left="1300" w:right="40" w:hanging="644"/>
        <w:spacing w:after="0" w:line="259" w:lineRule="auto"/>
        <w:tabs>
          <w:tab w:leader="none" w:pos="13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outstanding Options (other than Nonemployee Director Options) and SARs held by the Participant as of the effective date of such termination shall, to the extent exercisable as of the date of such termination, remain exercisable in full for a period of three months after the date of such termination (but in no event after the expiration date of any such Option or SAR), and Options and SARs not exercisable as of the date of such termination shall be forfeited and terminate;</w:t>
      </w:r>
    </w:p>
    <w:p>
      <w:pPr>
        <w:spacing w:after="0" w:line="186" w:lineRule="exact"/>
        <w:rPr>
          <w:rFonts w:ascii="Arial" w:cs="Arial" w:eastAsia="Arial" w:hAnsi="Arial"/>
          <w:sz w:val="18"/>
          <w:szCs w:val="18"/>
          <w:color w:val="auto"/>
        </w:rPr>
      </w:pPr>
    </w:p>
    <w:p>
      <w:pPr>
        <w:ind w:left="1300" w:right="120" w:hanging="644"/>
        <w:spacing w:after="0" w:line="277" w:lineRule="auto"/>
        <w:tabs>
          <w:tab w:leader="none" w:pos="130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outstanding Shares of Restricted Stock held by the Participant as of the effective date of such termination that have not vested as of the date of such termination shall be terminated and forfeited;</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1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All outstanding but unpaid Restricted Stock Units, Performance Shares, Performance Units, Other Cash-Based Awards and Other Stock-Based Awards held by the Participant as of the effective date of such termination shall be terminated and forfeited;</w:t>
      </w:r>
    </w:p>
    <w:p>
      <w:pPr>
        <w:sectPr>
          <w:pgSz w:w="11900" w:h="16838" w:orient="portrait"/>
          <w:cols w:equalWidth="0" w:num="1">
            <w:col w:w="11420"/>
          </w:cols>
          <w:pgMar w:left="240" w:top="125" w:right="239" w:bottom="0" w:gutter="0" w:footer="0" w:header="0"/>
        </w:sectPr>
      </w:pPr>
    </w:p>
    <w:bookmarkStart w:id="114" w:name="page115"/>
    <w:bookmarkEnd w:id="114"/>
    <w:p>
      <w:pPr>
        <w:spacing w:after="0" w:line="114" w:lineRule="exact"/>
        <w:rPr>
          <w:sz w:val="20"/>
          <w:szCs w:val="20"/>
          <w:color w:val="auto"/>
        </w:rPr>
      </w:pPr>
    </w:p>
    <w:p>
      <w:pPr>
        <w:ind w:left="1300" w:hanging="644"/>
        <w:spacing w:after="0" w:line="279" w:lineRule="auto"/>
        <w:tabs>
          <w:tab w:leader="none" w:pos="1307"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effective date of such termination is before the end of the Performance Period to which an Annual Performance Award relates, then any such Annual Performance Award held by a Participant shall be terminated and forfeited; if the effective date of such termination is on or after the end of the Performance Period to which an Annual Performance Award relates, then any such Annual Performance Award held by a Participant shall be paid to the Participant in accordance with the payment terms of such Award;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4"/>
        <w:spacing w:after="0" w:line="271" w:lineRule="auto"/>
        <w:tabs>
          <w:tab w:leader="none" w:pos="131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a Nonemployee Director has served as a member of the Board for ten full fiscal years or longer and terminates service on the Board for any reason other than death or Disability, (i) outstanding unvested Nonemployee Director Options shall remain outstanding and continue to vest in accordance with their terms, and (ii) the Nonemployee Director may exercise all such vested outstanding Nonemployee Director Options for up to four years after the date of termination, but not later than the date the Nonemployee Director Option expires. If a Nonemployee Director has served as a member of the Board for less than ten years and terminates service on the Board for any reason other than death or Disability, (x) all unvested Nonemployee Director Options shall expire and be canceled and (y) the Nonemployee Director may exercise any vested outstanding Nonemployee Director Options for up to three months after the date of termination, but not later than the date the Nonemployee Director Option expires.</w:t>
      </w:r>
    </w:p>
    <w:p>
      <w:pPr>
        <w:spacing w:after="0" w:line="17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b w:val="1"/>
          <w:bCs w:val="1"/>
          <w:color w:val="auto"/>
        </w:rPr>
        <w:t>13.4 Modification of Rights Upon Termination</w:t>
      </w:r>
      <w:r>
        <w:rPr>
          <w:rFonts w:ascii="Arial" w:cs="Arial" w:eastAsia="Arial" w:hAnsi="Arial"/>
          <w:sz w:val="17"/>
          <w:szCs w:val="17"/>
          <w:color w:val="auto"/>
        </w:rPr>
        <w:t>. Notwithstanding the other provisions of this Article 13, upon a Participant’s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or other service with the Company or any Affiliate or Subsidiary, as the case may be, the Committee may, in its sole discretion (which may be exercised at any time on or after the Grant Date, including following such termination) cause Options or SARs (or any part thereof) held by such Participant as of the effective date of such termination to terminate, become or continue to become exercisable or remain exercisable following such termination of employment or service, and Restricted Stock, Restricted Stock Units, Performance Shares, Performance Units, Annual Performance Awards, Nonemployee Director Awards, Other Cash-Based Awards and Other Stock-Based Awards held by such Participant as of the effective date of such termination to terminate, vest or become free of restrictions and conditions to payment, as the case may be, following such termination of employment or service, in each case in the manner determined by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the Committee may not take any action not permitted pursuant to Section 15.3 or Section 20.5, (b) the Committee taking any such action relating to Nonemployee Director Awards shall consist solely of “independent directors” (as defined in the rules of the New York Stock Exchange), and (c) any such action by the Committee adversely affecting any outstanding Award will not be effective without the consent of the affected Participant (subject to the right of the Committee to take whatever action it deems appropriate under Sections 4.4 or 13.6 or Articles 19 and 20 of this Plan).</w:t>
      </w:r>
    </w:p>
    <w:p>
      <w:pPr>
        <w:spacing w:after="0" w:line="180"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13.5 Determination of Termination of Employment or Other Service</w:t>
      </w:r>
      <w:r>
        <w:rPr>
          <w:rFonts w:ascii="Arial" w:cs="Arial" w:eastAsia="Arial" w:hAnsi="Arial"/>
          <w:sz w:val="16"/>
          <w:szCs w:val="16"/>
          <w:color w:val="auto"/>
        </w:rPr>
        <w:t>. Unless the Committee otherwise determines in its sole discretion,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Participant’s employment or other service will, for purposes of this Plan, be deemed to have terminated on the date recorded on the personnel or other records of the Company or the Affiliate or Subsidiary for which the Participant provides employment or other service, as determined by the Committee in its sole discretion based upon such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distribution of an Award subject to Code Section 409A is triggered by a termination of a Participant’s employment or other service, such termination must also constitute a “separation from service” within the meaning of Code Section 409A.</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Additional Forfeiture Events</w:t>
      </w:r>
      <w:r>
        <w:rPr>
          <w:rFonts w:ascii="Arial" w:cs="Arial" w:eastAsia="Arial" w:hAnsi="Arial"/>
          <w:sz w:val="16"/>
          <w:szCs w:val="16"/>
          <w:color w:val="auto"/>
        </w:rPr>
        <w:t>.</w:t>
      </w:r>
    </w:p>
    <w:p>
      <w:pPr>
        <w:spacing w:after="0" w:line="225" w:lineRule="exact"/>
        <w:rPr>
          <w:sz w:val="20"/>
          <w:szCs w:val="20"/>
          <w:color w:val="auto"/>
        </w:rPr>
      </w:pPr>
    </w:p>
    <w:p>
      <w:pPr>
        <w:ind w:left="1300" w:right="120" w:hanging="644"/>
        <w:spacing w:after="0" w:line="290" w:lineRule="auto"/>
        <w:tabs>
          <w:tab w:leader="none" w:pos="131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Actions Constituting Adverse Action</w:t>
      </w:r>
      <w:r>
        <w:rPr>
          <w:rFonts w:ascii="Arial" w:cs="Arial" w:eastAsia="Arial" w:hAnsi="Arial"/>
          <w:sz w:val="16"/>
          <w:szCs w:val="16"/>
          <w:color w:val="auto"/>
        </w:rPr>
        <w:t>. Notwithstanding anything in this Plan to the contrary and in addition to the other rights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under this Section 13.6, if a Participant is determined by the Committee, acting in its sole discretion, to 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 economic value (however defined by the Committee) made or realized by the Participant, during the period beginning one year prior to the Participant’s termination of employment or other service with the Company, an Affiliate or a Subsidiary, in connection with any Awards or any Shares issued upon the exercise or vesting of any Awards. The Company may defer the exercise of any Option or SAR, the issuance of share certificates or removal of restrictions on uncertificated shares issued in book entry form upon the vesting of any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60"/>
        <w:spacing w:after="0" w:line="259" w:lineRule="auto"/>
        <w:rPr>
          <w:sz w:val="20"/>
          <w:szCs w:val="20"/>
          <w:color w:val="auto"/>
        </w:rPr>
      </w:pPr>
      <w:r>
        <w:rPr>
          <w:rFonts w:ascii="Arial" w:cs="Arial" w:eastAsia="Arial" w:hAnsi="Arial"/>
          <w:sz w:val="18"/>
          <w:szCs w:val="18"/>
          <w:color w:val="auto"/>
        </w:rPr>
        <w:t>Restricted Stock or the payment of any Restricted Stock Unit, Performance Share, Performance Unit or Other Stock-Based Awards for a period of up to ninety (90) days in order for the Committee to make any determination as to the existence of an Adverse Action. Unless otherwise provided by the Committee in an applicable Award Agreement, this Section 13.6(a) shall not apply to any Participant following a Change of Control.</w:t>
      </w:r>
    </w:p>
    <w:p>
      <w:pPr>
        <w:spacing w:after="0" w:line="183" w:lineRule="exact"/>
        <w:rPr>
          <w:sz w:val="20"/>
          <w:szCs w:val="20"/>
          <w:color w:val="auto"/>
        </w:rPr>
      </w:pPr>
    </w:p>
    <w:p>
      <w:pPr>
        <w:ind w:left="1300" w:right="60" w:hanging="644"/>
        <w:spacing w:after="0" w:line="256" w:lineRule="auto"/>
        <w:tabs>
          <w:tab w:leader="none" w:pos="1307"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Forfeiture of Awards under Sarbanes-Oxley Act</w:t>
      </w:r>
      <w:r>
        <w:rPr>
          <w:rFonts w:ascii="Arial" w:cs="Arial" w:eastAsia="Arial" w:hAnsi="Arial"/>
          <w:sz w:val="18"/>
          <w:szCs w:val="18"/>
          <w:color w:val="auto"/>
        </w:rPr>
        <w:t>. If the Company is required to prepare an accounting restatement due to the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noncompliance of the Company, as a result of misconduct, with any financial reporting requirement under the securities laws, then any Participant who is one of the individuals subject to automatic forfeiture under Section 304 of the Sarbanes-Oxley Act of 2002 shall reimburse the Company for the amount of any Award received by such individual under this Plan during the 12-month period following the first public issuance or filing with the Securities and Exchange Commission, as the case may be, of the financial document embodying such financial reporting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Transferability of Awards and Shares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14.1 Transferability of Awards</w:t>
      </w:r>
      <w:r>
        <w:rPr>
          <w:rFonts w:ascii="Arial" w:cs="Arial" w:eastAsia="Arial" w:hAnsi="Arial"/>
          <w:sz w:val="18"/>
          <w:szCs w:val="18"/>
          <w:color w:val="auto"/>
        </w:rPr>
        <w:t>. Except as determined by the Committee in its sole discretion, and on and subject to such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it shall deem appropriate: (a) during a Participant’s lifetime, his or her Awards shall be exercisable only by the Participant; (b) Awards shall not be transferable other than by will or the laws of descent and distribution or, subject to the consent of the Committee, pursuant to a domestic relations order entered into by a court of competent jurisdiction; (c) no Awards shall be subject, in whole or in part, to attachment, execution or levy of any kind; and (d) any purported transfer in violation of this Section 14.1 shall be null and void. The Committee may establish such procedures as it deems appropriate for a Participant to designate a beneficiary to whom any amounts payable or Shares deliverable in the event of, or following, the Participant’s death may be provided.</w:t>
      </w:r>
    </w:p>
    <w:p>
      <w:pPr>
        <w:spacing w:after="0" w:line="189"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14.2 Restrictions on Share Transferability</w:t>
      </w:r>
      <w:r>
        <w:rPr>
          <w:rFonts w:ascii="Arial" w:cs="Arial" w:eastAsia="Arial" w:hAnsi="Arial"/>
          <w:sz w:val="16"/>
          <w:szCs w:val="16"/>
          <w:color w:val="auto"/>
        </w:rPr>
        <w:t>. The Committee may impose such restrictions on any Shares acquired by a Participant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it may deem advisable, including minimum holding period requirements, restrictions under applicable federal securities laws, under the requirements</w:t>
      </w:r>
    </w:p>
    <w:p>
      <w:pPr>
        <w:sectPr>
          <w:pgSz w:w="11900" w:h="16952" w:orient="portrait"/>
          <w:cols w:equalWidth="0" w:num="1">
            <w:col w:w="11420"/>
          </w:cols>
          <w:pgMar w:left="240" w:top="125" w:right="239" w:bottom="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t>of any stock exchange or market upon which such Shares are then listed or traded, or under any blue sky or state securities laws applicable to such Shares.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Performance Measures</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15.1 Performance Measures</w:t>
      </w:r>
      <w:r>
        <w:rPr>
          <w:rFonts w:ascii="Arial" w:cs="Arial" w:eastAsia="Arial" w:hAnsi="Arial"/>
          <w:sz w:val="18"/>
          <w:szCs w:val="18"/>
          <w:color w:val="auto"/>
        </w:rPr>
        <w:t>. The Performance Goals upon which the payment or vesting of an Award to a Covered Employee that is intended</w:t>
      </w:r>
      <w:r>
        <w:rPr>
          <w:rFonts w:ascii="Arial" w:cs="Arial" w:eastAsia="Arial" w:hAnsi="Arial"/>
          <w:sz w:val="18"/>
          <w:szCs w:val="18"/>
          <w:b w:val="1"/>
          <w:bCs w:val="1"/>
          <w:color w:val="auto"/>
        </w:rPr>
        <w:t xml:space="preserve"> </w:t>
      </w:r>
      <w:r>
        <w:rPr>
          <w:rFonts w:ascii="Arial" w:cs="Arial" w:eastAsia="Arial" w:hAnsi="Arial"/>
          <w:sz w:val="18"/>
          <w:szCs w:val="18"/>
          <w:color w:val="auto"/>
        </w:rPr>
        <w:t>to qualify as Performance-Based Compensation shall be limited to one or more specified objective Performance Measures that are based on the following Performance Measure elements (each, a “Performance Measure Element”):</w:t>
      </w:r>
    </w:p>
    <w:p>
      <w:pPr>
        <w:spacing w:after="0" w:line="176" w:lineRule="exact"/>
        <w:rPr>
          <w:sz w:val="20"/>
          <w:szCs w:val="20"/>
          <w:color w:val="auto"/>
        </w:rPr>
      </w:pPr>
    </w:p>
    <w:p>
      <w:pPr>
        <w:ind w:left="1580" w:hanging="735"/>
        <w:spacing w:after="0"/>
        <w:tabs>
          <w:tab w:leader="none" w:pos="15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Sales and Revenue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Sales Allowances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Invoiced Revenue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Collected Revenue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Revenues from New Products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Bad Debts</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Expense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Direct Material Costs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Direct Labor Costs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Indirect Labor Costs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Direct Manufacturing Costs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Indirect Manufacturing Costs</w:t>
      </w:r>
    </w:p>
    <w:p>
      <w:pPr>
        <w:spacing w:after="0" w:line="23"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Cost of Goods Sold</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Sales, General and Administrative Expenses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Non-cash Expenses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Tax Expense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Non-operating Expenses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Total Expenses</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Profitability and Productivity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EBITDA (earnings before interest, taxes, depreciation and amortization)</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EBIT (earnings before interest and taxes)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Net Operating Income After Taxes (NOPAT)</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Net Cash Flow</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Net Cash Flow from Operations</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Asset Utilization and Effectiveness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Cash</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Excess Cash</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Inventory (WIP or Finished Goods)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Current Assets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Capital</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Fixed Assets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Assets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Standard Hours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Plant Utilization</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Purchase Price Variance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Manufacturing Overhead Variance</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Debt and Equity Measures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Accounts Payable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Current Accrued Liabilities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Current Liabilities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Debt</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Debt Principal Payments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Net Current Borrowings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Long-term Debt</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Retained Earnings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Preferred Equity</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Common Equity</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Total Equity</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Shareholder and Return Measure Elements</w:t>
      </w:r>
      <w:r>
        <w:rPr>
          <w:rFonts w:ascii="Arial" w:cs="Arial" w:eastAsia="Arial" w:hAnsi="Arial"/>
          <w:sz w:val="18"/>
          <w:szCs w:val="18"/>
          <w:color w:val="auto"/>
        </w:rPr>
        <w:t>:</w:t>
      </w:r>
    </w:p>
    <w:p>
      <w:pPr>
        <w:sectPr>
          <w:pgSz w:w="11900" w:h="16838" w:orient="portrait"/>
          <w:cols w:equalWidth="0" w:num="1">
            <w:col w:w="11320"/>
          </w:cols>
          <w:pgMar w:left="240" w:top="125" w:right="339" w:bottom="0" w:gutter="0" w:footer="0" w:header="0"/>
        </w:sectPr>
      </w:pPr>
    </w:p>
    <w:bookmarkStart w:id="116" w:name="page117"/>
    <w:bookmarkEnd w:id="116"/>
    <w:p>
      <w:pPr>
        <w:spacing w:after="0" w:line="70" w:lineRule="exact"/>
        <w:rPr>
          <w:sz w:val="20"/>
          <w:szCs w:val="20"/>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Earnings per Share (diluted and fully diluted)</w:t>
      </w:r>
    </w:p>
    <w:p>
      <w:pPr>
        <w:spacing w:after="0" w:line="23" w:lineRule="exact"/>
        <w:rPr>
          <w:rFonts w:ascii="Arial" w:cs="Arial" w:eastAsia="Arial" w:hAnsi="Arial"/>
          <w:sz w:val="18"/>
          <w:szCs w:val="18"/>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Dividends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Shares Repurchased</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Total Return to Shareholders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Debt Coverage Ratios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40" w:hanging="752"/>
        <w:spacing w:after="0"/>
        <w:tabs>
          <w:tab w:leader="none" w:pos="23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3" w:lineRule="exact"/>
        <w:rPr>
          <w:rFonts w:ascii="Arial" w:cs="Arial" w:eastAsia="Arial" w:hAnsi="Arial"/>
          <w:sz w:val="18"/>
          <w:szCs w:val="18"/>
          <w:color w:val="auto"/>
        </w:rPr>
      </w:pPr>
    </w:p>
    <w:p>
      <w:pPr>
        <w:ind w:left="2340" w:hanging="752"/>
        <w:spacing w:after="0"/>
        <w:tabs>
          <w:tab w:leader="none" w:pos="23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Economic Profit (for example, economic value added)</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Customer and Market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Dealer/Channel Size/Scope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Dealer/Channel Performance/Effectiveness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Order Fill Rate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Customer Service/Care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Brand Awareness and Perception</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Warranty Rates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Product Quality</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Channel Inventory</w:t>
      </w:r>
    </w:p>
    <w:p>
      <w:pPr>
        <w:spacing w:after="0" w:line="206" w:lineRule="exact"/>
        <w:rPr>
          <w:rFonts w:ascii="Arial" w:cs="Arial" w:eastAsia="Arial" w:hAnsi="Arial"/>
          <w:sz w:val="18"/>
          <w:szCs w:val="18"/>
          <w:color w:val="auto"/>
        </w:rPr>
      </w:pPr>
    </w:p>
    <w:p>
      <w:pPr>
        <w:ind w:left="1580" w:hanging="735"/>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Organizational and Employee Measure Elements</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Headcount</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Employee Performance</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Employee Productivity</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Standard Hours</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Employee Engagement/Satisfaction</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Employee Turnover</w:t>
      </w:r>
    </w:p>
    <w:p>
      <w:pPr>
        <w:spacing w:after="0" w:line="9" w:lineRule="exact"/>
        <w:rPr>
          <w:rFonts w:ascii="Arial" w:cs="Arial" w:eastAsia="Arial" w:hAnsi="Arial"/>
          <w:sz w:val="18"/>
          <w:szCs w:val="18"/>
          <w:color w:val="auto"/>
        </w:rPr>
      </w:pPr>
    </w:p>
    <w:p>
      <w:pPr>
        <w:ind w:left="2340" w:hanging="752"/>
        <w:spacing w:after="0"/>
        <w:tabs>
          <w:tab w:leader="none" w:pos="23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Employee Diversity</w:t>
      </w:r>
    </w:p>
    <w:p>
      <w:pPr>
        <w:spacing w:after="0" w:line="21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Any Performance Measure Element can be a Performance Measure. In addition, any of the Performance Measure Element(s) can be used in an algebraic formula (e.g., averaged over a period, combined into a ratio, compared to a budget or standard, compared to previous periods and/or other formulaic combinations) based on the Performance Measure Elements to create a Performance Measure. Any Performance Measure(s) may be used to measure the performance of the Company, Subsidiary or Affiliate as a whole or any division or business unit of the Company, product or product group, region or territory, Subsidiary or Affiliate, or any combination thereof, as the Committee may deem appropriate. Any Performance Measure(s) can be compared to the performance of a group of comparator companies, or published or special index that the Committee, in its sole discretion, deems appropriate, or the Company may select any Performance Measure(s) above as compared to various stock market indices. The Committee also has the authority to provide for accelerated vesting of any Award based on the achievement of Performance Goals pursuant to any Performance Measure(s) specified in this Article 15.</w:t>
      </w:r>
    </w:p>
    <w:p>
      <w:pPr>
        <w:spacing w:after="0" w:line="16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b w:val="1"/>
          <w:bCs w:val="1"/>
          <w:color w:val="auto"/>
        </w:rPr>
        <w:t>15.2 Establishment of Performance Goals</w:t>
      </w:r>
      <w:r>
        <w:rPr>
          <w:rFonts w:ascii="Arial" w:cs="Arial" w:eastAsia="Arial" w:hAnsi="Arial"/>
          <w:sz w:val="18"/>
          <w:szCs w:val="18"/>
          <w:color w:val="auto"/>
        </w:rPr>
        <w:t>. Any Award to a Covered Employee that is intended to qualify as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shall be granted, and Performance Goals for such an Award shall be established, by the Committee in writing not later than ninety (90) days after the commencement of the Performance Period to which the Performance Goals relate, or such other period required under Code Section 162(m); provided that the outcome is substantially uncertain at the time the Committee establishes the Performance Goal; and provided further that in no event will a Performance Goal be considered to be preestablished if it is established after 25% of the Performance Period (as scheduled in good faith at the time the Performance Goal is established) has elapsed.</w:t>
      </w:r>
    </w:p>
    <w:p>
      <w:pPr>
        <w:spacing w:after="0" w:line="18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15.3 Certification of Payment</w:t>
      </w:r>
      <w:r>
        <w:rPr>
          <w:rFonts w:ascii="Arial" w:cs="Arial" w:eastAsia="Arial" w:hAnsi="Arial"/>
          <w:sz w:val="18"/>
          <w:szCs w:val="18"/>
          <w:color w:val="auto"/>
        </w:rPr>
        <w:t>. Before any payment is made in connection with any Award to a Covered Employee that is intended to qualify as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Compensation, the Committee must certify in writing, as reflected in the minutes, that the Performance Goals established with respect to such Award have been achieved.</w:t>
      </w:r>
    </w:p>
    <w:p>
      <w:pPr>
        <w:spacing w:after="0" w:line="176" w:lineRule="exact"/>
        <w:rPr>
          <w:sz w:val="20"/>
          <w:szCs w:val="20"/>
          <w:color w:val="auto"/>
        </w:rPr>
      </w:pPr>
    </w:p>
    <w:p>
      <w:pPr>
        <w:ind w:right="420" w:firstLine="648"/>
        <w:spacing w:after="0" w:line="266" w:lineRule="auto"/>
        <w:rPr>
          <w:sz w:val="20"/>
          <w:szCs w:val="20"/>
          <w:color w:val="auto"/>
        </w:rPr>
      </w:pPr>
      <w:r>
        <w:rPr>
          <w:rFonts w:ascii="Arial" w:cs="Arial" w:eastAsia="Arial" w:hAnsi="Arial"/>
          <w:sz w:val="18"/>
          <w:szCs w:val="18"/>
          <w:b w:val="1"/>
          <w:bCs w:val="1"/>
          <w:color w:val="auto"/>
        </w:rPr>
        <w:t>15.4 Evaluation of Performance</w:t>
      </w:r>
      <w:r>
        <w:rPr>
          <w:rFonts w:ascii="Arial" w:cs="Arial" w:eastAsia="Arial" w:hAnsi="Arial"/>
          <w:sz w:val="18"/>
          <w:szCs w:val="18"/>
          <w:color w:val="auto"/>
        </w:rPr>
        <w:t>. The Committee may provide in any such Award including Performance Goals that any evaluation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may include or exclude any of the following events that occurs during a Performance Period: (a) items related to a change in accounting or measurement principles; (b) items relating to financing activities; (c) expenses for restructuring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productivity initiatives; (d) other non-operating items; (e) items related to acquisitions; (f) items attributable to the business operations of any entity acquired by the Company during the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 Performance Period; (j) any other items of significant income or expense which are determined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 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w:t>
      </w:r>
    </w:p>
    <w:p>
      <w:pPr>
        <w:spacing w:after="0" w:line="1" w:lineRule="exact"/>
        <w:rPr>
          <w:sz w:val="20"/>
          <w:szCs w:val="20"/>
          <w:color w:val="auto"/>
        </w:rPr>
      </w:pPr>
    </w:p>
    <w:p>
      <w:pPr>
        <w:ind w:right="140" w:firstLine="8"/>
        <w:spacing w:after="0" w:line="255" w:lineRule="auto"/>
        <w:tabs>
          <w:tab w:leader="none" w:pos="2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items relating to any other unusual or nonrecurring events or changes in applicable laws, accounting principles or business conditions. To the extent such inclusions or exclusions affect Awards to Covered Employees, they shall be prescribed in a form that meets the requirements of Code Section 162(m) for deductibility.</w:t>
      </w:r>
    </w:p>
    <w:p>
      <w:pPr>
        <w:sectPr>
          <w:pgSz w:w="11900" w:h="16909" w:orient="portrait"/>
          <w:cols w:equalWidth="0" w:num="1">
            <w:col w:w="11420"/>
          </w:cols>
          <w:pgMar w:left="240" w:top="125" w:right="239" w:bottom="0" w:gutter="0" w:footer="0" w:header="0"/>
        </w:sectPr>
      </w:pPr>
    </w:p>
    <w:bookmarkStart w:id="117" w:name="page118"/>
    <w:bookmarkEnd w:id="117"/>
    <w:p>
      <w:pPr>
        <w:ind w:firstLine="648"/>
        <w:spacing w:after="0" w:line="266" w:lineRule="auto"/>
        <w:rPr>
          <w:sz w:val="20"/>
          <w:szCs w:val="20"/>
          <w:color w:val="auto"/>
        </w:rPr>
      </w:pPr>
      <w:r>
        <w:rPr>
          <w:rFonts w:ascii="Arial" w:cs="Arial" w:eastAsia="Arial" w:hAnsi="Arial"/>
          <w:sz w:val="18"/>
          <w:szCs w:val="18"/>
          <w:b w:val="1"/>
          <w:bCs w:val="1"/>
          <w:color w:val="auto"/>
        </w:rPr>
        <w:t>15.5 Adjustment of Performance-Based Compensation</w:t>
      </w:r>
      <w:r>
        <w:rPr>
          <w:rFonts w:ascii="Arial" w:cs="Arial" w:eastAsia="Arial" w:hAnsi="Arial"/>
          <w:sz w:val="18"/>
          <w:szCs w:val="18"/>
          <w:color w:val="auto"/>
        </w:rPr>
        <w:t>. Awards that are intended to qualify as Performance-Based Compensation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upward. The Committee shall retain the discretion to adjust such Awards downward, either on a formula or discretionary basis or any combination, as the Committee determines.</w:t>
      </w:r>
    </w:p>
    <w:p>
      <w:pPr>
        <w:spacing w:after="0" w:line="176"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15.6 Committee Discretion</w:t>
      </w:r>
      <w:r>
        <w:rPr>
          <w:rFonts w:ascii="Arial" w:cs="Arial" w:eastAsia="Arial" w:hAnsi="Arial"/>
          <w:sz w:val="18"/>
          <w:szCs w:val="18"/>
          <w:color w:val="auto"/>
        </w:rPr>
        <w:t>. In the event that applicable tax or securities laws change to permit Committee discretion to alter the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without obtaining shareholder approval of such changes, the Committee shall have sole discretion to make such changes without obtaining 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15.1.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Dividend Equivalents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Participant selected by the Committee may be granted dividend equivalents based on the dividends declared on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subject to such limitations as may be determined by the Committee. Notwithstanding the foregoing, the Committee may not grant dividend equivalents based on the dividends declared on Shares that are subject to an Option or SAR Award and further, no dividend or dividend equivalents shall be paid out with respect to any unvested performance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Beneficiary Designation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the Participant’s death before the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Rights of Participants</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18.1 Employment</w:t>
      </w:r>
      <w:r>
        <w:rPr>
          <w:rFonts w:ascii="Arial" w:cs="Arial" w:eastAsia="Arial" w:hAnsi="Arial"/>
          <w:sz w:val="18"/>
          <w:szCs w:val="18"/>
          <w:color w:val="auto"/>
        </w:rPr>
        <w:t>. Nothing in this Plan or an Award Agreement shall: (a) interfere with or limit in any way the right of the Company,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its Subsidiaries to terminate any Participant’s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employment or service on the Board or to the Company or an Affiliate or Subsidiary at any time or for any reason not prohibited by law, or (b) confer upon any Participant any right to continue his employment or service as a Director or Third-Party Service Provider for any specified period of time. Neither an Award nor any benefits arising under this Plan shall constitute an employment contract with the Company or any Affiliate or Subsidiary and, accordingly, subject to Articles 3 and 20, this Plan and the benefits hereunder may be terminated at any time in the sole and exclusive discretion of the Committee without giving rise to any liability on the part of the Company, its Affiliates or its Subsidiaries.</w:t>
      </w:r>
    </w:p>
    <w:p>
      <w:pPr>
        <w:spacing w:after="0" w:line="184"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18.2 Participation</w:t>
      </w:r>
      <w:r>
        <w:rPr>
          <w:rFonts w:ascii="Arial" w:cs="Arial" w:eastAsia="Arial" w:hAnsi="Arial"/>
          <w:sz w:val="18"/>
          <w:szCs w:val="18"/>
          <w:color w:val="auto"/>
        </w:rPr>
        <w:t>. No individual shall have the right to be selected to receive an Award under this Plan or, having been so selected,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receive a future Award.</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18.3 Rights as a Shareholder</w:t>
      </w:r>
      <w:r>
        <w:rPr>
          <w:rFonts w:ascii="Arial" w:cs="Arial" w:eastAsia="Arial" w:hAnsi="Arial"/>
          <w:sz w:val="18"/>
          <w:szCs w:val="18"/>
          <w:color w:val="auto"/>
        </w:rPr>
        <w:t>. Except as otherwise provided herein, a Participant shall have none of the rights of a shareholder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covered by any Award until the Participant becomes the record holder of such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Change of Control</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19.1 Effect of Change of Control</w:t>
      </w:r>
      <w:r>
        <w:rPr>
          <w:rFonts w:ascii="Arial" w:cs="Arial" w:eastAsia="Arial" w:hAnsi="Arial"/>
          <w:sz w:val="16"/>
          <w:szCs w:val="16"/>
          <w:color w:val="auto"/>
        </w:rPr>
        <w:t>. Without limiting the authority of the Committee pursuant to Sections 3.2 and 4.4 of this Plan, if a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occurs then, unless otherwise determined by the Committee or the Board in writing at or after the making of an Award, but prior to the occurrence of such Change of Control: (a) all Options and SARs granted hereunder shall become immediately exercisable and shall remain exercisable throughout their entire term; (b) all restrictions and vesting requirements applicable to any Award based solely on the continued service of the Participant shall terminate; and</w:t>
      </w:r>
    </w:p>
    <w:p>
      <w:pPr>
        <w:spacing w:after="0" w:line="3" w:lineRule="exact"/>
        <w:rPr>
          <w:sz w:val="20"/>
          <w:szCs w:val="20"/>
          <w:color w:val="auto"/>
        </w:rPr>
      </w:pPr>
    </w:p>
    <w:p>
      <w:pPr>
        <w:ind w:right="40" w:firstLine="8"/>
        <w:spacing w:after="0" w:line="290" w:lineRule="auto"/>
        <w:tabs>
          <w:tab w:leader="none" w:pos="24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all Awards the vesting or payment of which are based on Performance Goals shall vest as though such Performance Goals were fully achieved and shall become immediately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Award that provides for a deferral of compensation within the meaning of Code Section 409A shall be cashed out upon the occurrence of a Change of Control unless the event or circumstances constituting the Change of Control also constitute a “change in the ownership” of the Company, a “change in the effective control” of the Company or a “change in the ownership of a substantial portion of the assets” of the Company, in each case as determined under Code Section 409A. The treatment of any other Awards in the event of a Change of Control shall be as determined by the Committee in connection with the grant thereof, as reflected in the applicable Award Agreement.</w:t>
      </w:r>
    </w:p>
    <w:p>
      <w:pPr>
        <w:spacing w:after="0" w:line="16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19.2 Alternative Treatment of Stock-Based Awards</w:t>
      </w:r>
      <w:r>
        <w:rPr>
          <w:rFonts w:ascii="Arial" w:cs="Arial" w:eastAsia="Arial" w:hAnsi="Arial"/>
          <w:sz w:val="16"/>
          <w:szCs w:val="16"/>
          <w:color w:val="auto"/>
        </w:rPr>
        <w:t>. In connection with a Change of Control, the Committee in its sole discretion, either in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at the time of grant of a Stock-Based Award or at any time after the grant of such an Award, may determine that any or all outstanding Stock-Based Awards granted under this Plan, whether or not exercisable or vested, as the case may be, will be canceled and terminated and that in connection with such cancellation and termination the holder of such Stock-Based Award will receive for each Share subject to such Award a cash payment (or the delivery of shares of stock, other securities or a combination of cash, stock and securities with a fair market value (as determined by the Committee in good faith) equivalent to such cash payment) equal to the difference, if any, between the consideration received by shareholders of the Company in respect of a Share in connection with such Change of Control and the purchase price per share, if any, under the Award, multiplied by the number of Shares subject to such Award (or in which such Award is denominated); provided that if such product is zero ($0) or less or to the extent that the Award is not then exercisable, the Award may be canceled and terminated without payment therefor. If any portion of the consideration pursuant to a Change of Control may be received by holders of Shares on a contingent or delayed basis, the Committee may, in its sole discretion, determine the fair market value per share of such consideration as of the time of the Change of Control on the basis of the Committee’s good faith estimate of the present value of the probable future payment of such consideration. Notwithstanding the foregoing, any Shares issued pursuant to a Stock-Based Award that immediately prior to the effectiveness of the Change</w:t>
      </w:r>
    </w:p>
    <w:p>
      <w:pPr>
        <w:sectPr>
          <w:pgSz w:w="11900" w:h="16838" w:orient="portrait"/>
          <w:cols w:equalWidth="0" w:num="1">
            <w:col w:w="11380"/>
          </w:cols>
          <w:pgMar w:left="240" w:top="337" w:right="279" w:bottom="0" w:gutter="0" w:footer="0" w:header="0"/>
        </w:sectPr>
      </w:pPr>
    </w:p>
    <w:bookmarkStart w:id="118" w:name="page119"/>
    <w:bookmarkEnd w:id="118"/>
    <w:p>
      <w:pPr>
        <w:spacing w:after="0" w:line="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of Control are subject to no further restrictions pursuant to this Plan or an Award Agreement (other than pursuant to the securities laws) shall be deemed to be outstanding Shares and receive the same consideration as other outstanding Shares in connection with the Change of Control.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19.3 Limitation on Change of Control Payments</w:t>
      </w:r>
      <w:r>
        <w:rPr>
          <w:rFonts w:ascii="Arial" w:cs="Arial" w:eastAsia="Arial" w:hAnsi="Arial"/>
          <w:sz w:val="16"/>
          <w:szCs w:val="16"/>
          <w:color w:val="auto"/>
        </w:rPr>
        <w:t>. Notwithstanding anything in Sections 19.1 or 19.2 of this Plan to the contrary, if,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Participant, the acceleration of the vesting of a Award as provided in Section 19.1 of this Plan or the payment of cash in exchange for all or part of a Stock-Based Award as provided in Section 19.2 of this Plan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 Company is a member, would constitute a “parachute payment” (as defined in Code Section 280G(b)(2)), then the “payments” to such Participant pursuant to Section 19.1 or 19.2 of this Plan will be reduced (or acceleration of vesting eliminated) to the largest amount as will result in no portion of such “payments” being subject to the excise tax imposed by Code Section 4999; provided, that such reduction shall be 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provided further that such payments will be reduced (or acceleration of vesting eliminated) in the following order: (i) options with an exercise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(including that “payments” under such agreement or otherwise will be reduced, that the Participant will have the discretion to determine which “payments” will be reduced, that such “payments” will not be reduced or that such “payments” will be “grossed up” for tax purposes), then this Section 19.3 shall not apply and any “payments” to a Participant pursuant to Section 19.1 or 19.2 of this Plan will be treated as “payments” arising under such separate agreement.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Amendment and Termination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Amendment and Termination of this Plan and Award Agreements</w:t>
      </w:r>
      <w:r>
        <w:rPr>
          <w:rFonts w:ascii="Arial" w:cs="Arial" w:eastAsia="Arial" w:hAnsi="Arial"/>
          <w:sz w:val="16"/>
          <w:szCs w:val="16"/>
          <w:color w:val="auto"/>
        </w:rPr>
        <w:t>.</w:t>
      </w:r>
    </w:p>
    <w:p>
      <w:pPr>
        <w:spacing w:after="0" w:line="229" w:lineRule="exact"/>
        <w:rPr>
          <w:sz w:val="20"/>
          <w:szCs w:val="20"/>
          <w:color w:val="auto"/>
        </w:rPr>
      </w:pPr>
    </w:p>
    <w:p>
      <w:pPr>
        <w:ind w:left="1300" w:right="180" w:hanging="644"/>
        <w:spacing w:after="0" w:line="264" w:lineRule="auto"/>
        <w:tabs>
          <w:tab w:leader="none" w:pos="13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subparagraphs (b) and (c) of this Section 20.1 and Sections 20.3, 20.5, 20.6 and 23.13 of this Plan, the Board may at any time terminate this Plan or an outstanding Award Agreement and the Committee may, at any time and from time to time, amend this Plan or an outstanding Award Agreement.</w:t>
      </w:r>
    </w:p>
    <w:p>
      <w:pPr>
        <w:spacing w:after="0" w:line="181" w:lineRule="exact"/>
        <w:rPr>
          <w:rFonts w:ascii="Arial" w:cs="Arial" w:eastAsia="Arial" w:hAnsi="Arial"/>
          <w:sz w:val="18"/>
          <w:szCs w:val="18"/>
          <w:color w:val="auto"/>
        </w:rPr>
      </w:pPr>
    </w:p>
    <w:p>
      <w:pPr>
        <w:ind w:left="1300" w:right="60" w:hanging="644"/>
        <w:spacing w:after="0" w:line="279" w:lineRule="auto"/>
        <w:tabs>
          <w:tab w:leader="none" w:pos="130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terms of an outstanding Award may not be amended to reduce the exercise price of outstanding Options or to reduce the Grant Price of outstanding SARs or cancel outstanding Options or SARs in exchange for cash, other Awards or Options or SARs with an exercise price or Grant Price, as applicable, that is less than the exercise price of the cancelled Options or the Grant Price of the cancelled SARs without shareholder approval, except in connection with one of the events described in Section 4.4 hereof.</w:t>
      </w:r>
    </w:p>
    <w:p>
      <w:pPr>
        <w:spacing w:after="0" w:line="171" w:lineRule="exact"/>
        <w:rPr>
          <w:rFonts w:ascii="Arial" w:cs="Arial" w:eastAsia="Arial" w:hAnsi="Arial"/>
          <w:sz w:val="17"/>
          <w:szCs w:val="17"/>
          <w:color w:val="auto"/>
        </w:rPr>
      </w:pPr>
    </w:p>
    <w:p>
      <w:pPr>
        <w:ind w:left="1300" w:hanging="644"/>
        <w:spacing w:after="0" w:line="270" w:lineRule="auto"/>
        <w:tabs>
          <w:tab w:leader="none" w:pos="131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Notwithstanding the foregoing, no amendment of this Plan shall be made without shareholder approval (i) to increase the maximum number of Shares which may be issued pursuant to the Plan; (ii) to increase any limitation set forth in the Plan on the number of Shares which may be issued or the aggregate value of Awards which may be made, in respect of any type of Award to any single Participant during any specified period; (iii) to change the class of individuals eligible to participate in the Plan; (iv) to reduce the minimum Option Price or the minimum SAR Grant Price as set forth in Sections 6.3 and 7.3; (v) to reduce the minimum vesting period, Period of Restriction or Performance Period requirements applicable to Awards under the Plan to Participants who are Employees; or (vi) if shareholder approval is otherwise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this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20.2 Adjustment of Awards Upon the Occurrence of Certain Unusual or Nonrecurring Events</w:t>
      </w:r>
      <w:r>
        <w:rPr>
          <w:rFonts w:ascii="Arial" w:cs="Arial" w:eastAsia="Arial" w:hAnsi="Arial"/>
          <w:sz w:val="16"/>
          <w:szCs w:val="16"/>
          <w:color w:val="auto"/>
        </w:rPr>
        <w:t>. Subject to Section 15.5,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may amend or modify the vesting criteria (including any Performance Goals, Performance Measures or Performance Periods) of any outstanding Awards based in whole or in part on the financial performance of the Company (or any Subsidiary or division, business unit or other sub-unit thereof) in recognition of unusual or nonrecurring events (including the events described in Sections 4.4 or 15.4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20.2 without further consideration or action.</w:t>
      </w:r>
    </w:p>
    <w:p>
      <w:pPr>
        <w:spacing w:after="0" w:line="16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20.3 Awards Previously Granted</w:t>
      </w:r>
      <w:r>
        <w:rPr>
          <w:rFonts w:ascii="Arial" w:cs="Arial" w:eastAsia="Arial" w:hAnsi="Arial"/>
          <w:sz w:val="18"/>
          <w:szCs w:val="18"/>
          <w:color w:val="auto"/>
        </w:rPr>
        <w:t>. Notwithstanding any other provision of this Plan to the contrary, other than Sections 20.2, 20.4 or 23.13, no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amendment of this Plan or an Award Agreement shall adversely affect in any material way any Award previously granted under this Plan, without the written consent of the Participant holding such Award.</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20.4 Amendment to Conform to Law</w:t>
      </w:r>
      <w:r>
        <w:rPr>
          <w:rFonts w:ascii="Arial" w:cs="Arial" w:eastAsia="Arial" w:hAnsi="Arial"/>
          <w:sz w:val="18"/>
          <w:szCs w:val="18"/>
          <w:color w:val="auto"/>
        </w:rPr>
        <w:t>. Notwithstanding any other provision of this Plan to the contrary, the Committee may amend this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Agreement, to take effect retroactively or otherwise, as deemed necessary or advisable for the purpose of conforming 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20.4 to any Award granted under this Plan without further consideration or action.</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20.5 Waiver, Lapse or Acceleration of Exercisability or Vesting</w:t>
      </w:r>
      <w:r>
        <w:rPr>
          <w:rFonts w:ascii="Arial" w:cs="Arial" w:eastAsia="Arial" w:hAnsi="Arial"/>
          <w:sz w:val="17"/>
          <w:szCs w:val="17"/>
          <w:color w:val="auto"/>
        </w:rPr>
        <w:t>. The Committee shall not have the authority to waive, lapse or accelerate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exercisability or vesting of any Award held by any Participant who is an Employee, except (a) in connection with the death, Disability or Retirement of the Participant or a Change in Control or (b) to the extent that the number of Shares covered by such waived, lapsed or accelerated Award (together with the number of Shares covered by all other Awards, the exercisability or vesting of which previously have been waived, lapsed or accelerated by the Committee under this Plan) do not exceed five percent (5%) of the total number of Shares authorized for Awards under this Plan.</w:t>
      </w:r>
    </w:p>
    <w:p>
      <w:pPr>
        <w:sectPr>
          <w:pgSz w:w="11900" w:h="16927" w:orient="portrait"/>
          <w:cols w:equalWidth="0" w:num="1">
            <w:col w:w="11400"/>
          </w:cols>
          <w:pgMar w:left="240" w:top="125" w:right="259" w:bottom="0" w:gutter="0" w:footer="0" w:header="0"/>
        </w:sectPr>
      </w:pPr>
    </w:p>
    <w:bookmarkStart w:id="119" w:name="page120"/>
    <w:bookmarkEnd w:id="119"/>
    <w:p>
      <w:pPr>
        <w:ind w:firstLine="648"/>
        <w:spacing w:after="0" w:line="266" w:lineRule="auto"/>
        <w:rPr>
          <w:sz w:val="20"/>
          <w:szCs w:val="20"/>
          <w:color w:val="auto"/>
        </w:rPr>
      </w:pPr>
      <w:r>
        <w:rPr>
          <w:rFonts w:ascii="Arial" w:cs="Arial" w:eastAsia="Arial" w:hAnsi="Arial"/>
          <w:sz w:val="18"/>
          <w:szCs w:val="18"/>
          <w:b w:val="1"/>
          <w:bCs w:val="1"/>
          <w:color w:val="auto"/>
        </w:rPr>
        <w:t>20.6 Nonemployee Director Awards</w:t>
      </w:r>
      <w:r>
        <w:rPr>
          <w:rFonts w:ascii="Arial" w:cs="Arial" w:eastAsia="Arial" w:hAnsi="Arial"/>
          <w:sz w:val="18"/>
          <w:szCs w:val="18"/>
          <w:color w:val="auto"/>
        </w:rPr>
        <w:t>. Notwithstanding any other provision of this Plan to the contrary, no action may be taken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Nonemployee Director Award other than by the Committee (which shall consist solely of “independent directors” (as defined in the rules of the New York Stock Exchange)).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Withholding</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21.1 Tax Withholding</w:t>
      </w:r>
      <w:r>
        <w:rPr>
          <w:rFonts w:ascii="Arial" w:cs="Arial" w:eastAsia="Arial" w:hAnsi="Arial"/>
          <w:sz w:val="18"/>
          <w:szCs w:val="18"/>
          <w:color w:val="auto"/>
        </w:rPr>
        <w:t>. The Company shall have the power and the right to deduct or withhold, or require a Participant to remit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minimum statutory amount reasonably determined by the Company to be required to satisfy federal, state and local taxes, domestic or foreign, required by law or regulation to be withheld with respect to any taxable event arising as a result of this Plan.</w:t>
      </w:r>
    </w:p>
    <w:p>
      <w:pPr>
        <w:spacing w:after="0" w:line="17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21.2 Share Withholding</w:t>
      </w:r>
      <w:r>
        <w:rPr>
          <w:rFonts w:ascii="Arial" w:cs="Arial" w:eastAsia="Arial" w:hAnsi="Arial"/>
          <w:sz w:val="18"/>
          <w:szCs w:val="18"/>
          <w:color w:val="auto"/>
        </w:rPr>
        <w:t>. With respect to withholding required upon the exercise of Options or SARs, upon the lapse of restrictions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and Restricted Stock Units, or upon the achievement of Performance Goals related to Performance Shares, or any other taxable event arising as a result of a Stock-Based Award granted hereunder (collectively and individually referred to as a “Share Payment”), Participants may elect, subject to the approval of the Committee, to satisfy the withholding requirement, in whole or in part, by having the Company withhold from a Share Payment the number of Shares having a Fair Market Value on the date the withholding is to be determined equal to the minimum statutory withholding requirement but in no event shall such withholding exceed the minimum statutory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withholding requirement. All such elections shall be irrevocable, made in writing and signed by the Participant, and shall be subject to any restrictions or limitations that the Committee, in its sole discretion,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Successors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23. General Provisions</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23.1 Legend</w:t>
      </w:r>
      <w:r>
        <w:rPr>
          <w:rFonts w:ascii="Arial" w:cs="Arial" w:eastAsia="Arial" w:hAnsi="Arial"/>
          <w:sz w:val="18"/>
          <w:szCs w:val="18"/>
          <w:color w:val="auto"/>
        </w:rPr>
        <w:t>. The certificates for Shares may include any legend, and any uncertificated Shares issued in book entry form may be made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restriction, that the Committee deems appropriate to reflect any restrictions on transfer of such Shares.</w:t>
      </w:r>
    </w:p>
    <w:p>
      <w:pPr>
        <w:spacing w:after="0" w:line="16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23.2 Usage</w:t>
      </w:r>
      <w:r>
        <w:rPr>
          <w:rFonts w:ascii="Arial" w:cs="Arial" w:eastAsia="Arial" w:hAnsi="Arial"/>
          <w:sz w:val="17"/>
          <w:szCs w:val="17"/>
          <w:color w:val="auto"/>
        </w:rPr>
        <w:t>. In this Plan, except where otherwise indicated by clear contrary intention, (a) any masculine term used herein also shall include the</w:t>
      </w:r>
      <w:r>
        <w:rPr>
          <w:rFonts w:ascii="Arial" w:cs="Arial" w:eastAsia="Arial" w:hAnsi="Arial"/>
          <w:sz w:val="17"/>
          <w:szCs w:val="17"/>
          <w:b w:val="1"/>
          <w:bCs w:val="1"/>
          <w:color w:val="auto"/>
        </w:rPr>
        <w:t xml:space="preserve"> </w:t>
      </w:r>
      <w:r>
        <w:rPr>
          <w:rFonts w:ascii="Arial" w:cs="Arial" w:eastAsia="Arial" w:hAnsi="Arial"/>
          <w:sz w:val="17"/>
          <w:szCs w:val="17"/>
          <w:color w:val="auto"/>
        </w:rPr>
        <w:t>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58"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23.3 Severability</w:t>
      </w:r>
      <w:r>
        <w:rPr>
          <w:rFonts w:ascii="Arial" w:cs="Arial" w:eastAsia="Arial" w:hAnsi="Arial"/>
          <w:sz w:val="17"/>
          <w:szCs w:val="17"/>
          <w:color w:val="auto"/>
        </w:rPr>
        <w:t>. In the event any provision of this Plan shall be held illegal or invalid for any reason, the illegality or invalidity shall not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remaining parts of this Plan, and this Plan shall be construed and enforced as if the illegal or invalid provision had not been included.</w:t>
      </w:r>
    </w:p>
    <w:p>
      <w:pPr>
        <w:spacing w:after="0" w:line="13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23.4 Requirements of Law</w:t>
      </w:r>
      <w:r>
        <w:rPr>
          <w:rFonts w:ascii="Arial" w:cs="Arial" w:eastAsia="Arial" w:hAnsi="Arial"/>
          <w:sz w:val="18"/>
          <w:szCs w:val="18"/>
          <w:color w:val="auto"/>
        </w:rPr>
        <w:t>. The granting of Awards and the issuance of Shares under this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Delivery of Title</w:t>
      </w:r>
      <w:r>
        <w:rPr>
          <w:rFonts w:ascii="Arial" w:cs="Arial" w:eastAsia="Arial" w:hAnsi="Arial"/>
          <w:sz w:val="16"/>
          <w:szCs w:val="16"/>
          <w:color w:val="auto"/>
        </w:rPr>
        <w:t>. The Company shall have no obligation to issue or deliver evidence of title for Shares issued under this Plan prior to:</w:t>
      </w:r>
    </w:p>
    <w:p>
      <w:pPr>
        <w:spacing w:after="0" w:line="229" w:lineRule="exact"/>
        <w:rPr>
          <w:sz w:val="20"/>
          <w:szCs w:val="20"/>
          <w:color w:val="auto"/>
        </w:rPr>
      </w:pPr>
    </w:p>
    <w:p>
      <w:pPr>
        <w:ind w:left="1320" w:hanging="664"/>
        <w:spacing w:after="0"/>
        <w:tabs>
          <w:tab w:leader="none" w:pos="1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66" w:lineRule="exact"/>
        <w:rPr>
          <w:sz w:val="20"/>
          <w:szCs w:val="20"/>
          <w:color w:val="auto"/>
        </w:rPr>
      </w:pPr>
    </w:p>
    <w:p>
      <w:pPr>
        <w:jc w:val="both"/>
        <w:ind w:right="400" w:firstLine="648"/>
        <w:spacing w:after="0" w:line="289" w:lineRule="auto"/>
        <w:rPr>
          <w:sz w:val="20"/>
          <w:szCs w:val="20"/>
          <w:color w:val="auto"/>
        </w:rPr>
      </w:pPr>
      <w:r>
        <w:rPr>
          <w:rFonts w:ascii="Arial" w:cs="Arial" w:eastAsia="Arial" w:hAnsi="Arial"/>
          <w:sz w:val="17"/>
          <w:szCs w:val="17"/>
          <w:b w:val="1"/>
          <w:bCs w:val="1"/>
          <w:color w:val="auto"/>
        </w:rPr>
        <w:t>23.6 Inability to Obtain Authority</w:t>
      </w:r>
      <w:r>
        <w:rPr>
          <w:rFonts w:ascii="Arial" w:cs="Arial" w:eastAsia="Arial" w:hAnsi="Arial"/>
          <w:sz w:val="17"/>
          <w:szCs w:val="17"/>
          <w:color w:val="auto"/>
        </w:rPr>
        <w:t>. The inability of the Company to obtain authority from any regulatory body having jurisdiction,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58"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b w:val="1"/>
          <w:bCs w:val="1"/>
          <w:color w:val="auto"/>
        </w:rPr>
        <w:t>23.7 Investment Representations</w:t>
      </w:r>
      <w:r>
        <w:rPr>
          <w:rFonts w:ascii="Arial" w:cs="Arial" w:eastAsia="Arial" w:hAnsi="Arial"/>
          <w:sz w:val="16"/>
          <w:szCs w:val="16"/>
          <w:color w:val="auto"/>
        </w:rPr>
        <w:t>. The Committee may require any individual receiving Shares pursuant to an Award under this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and warrant in writing that the individual is acquiring the Shares for investment and without any present intention to sell or distribute such Shares.</w:t>
      </w:r>
    </w:p>
    <w:p>
      <w:pPr>
        <w:spacing w:after="0" w:line="116"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23.8 Employees Based Outside of the United States</w:t>
      </w:r>
      <w:r>
        <w:rPr>
          <w:rFonts w:ascii="Arial" w:cs="Arial" w:eastAsia="Arial" w:hAnsi="Arial"/>
          <w:sz w:val="18"/>
          <w:szCs w:val="18"/>
          <w:color w:val="auto"/>
        </w:rPr>
        <w:t>. Notwithstanding any provision of this Plan to the contrary, in order to comply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in other countries in which the Company, its Affiliates or its Subsidiaries operate or have Employees, Directors or Third-Party Service Providers, the Committee, in its sole discretion, shall have the power and authority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Determine which Employees, Directors or Third-Party Service Providers outside the United States are eligible to participate in this Plan;</w:t>
      </w:r>
    </w:p>
    <w:p>
      <w:pPr>
        <w:spacing w:after="0" w:line="248" w:lineRule="exact"/>
        <w:rPr>
          <w:rFonts w:ascii="Arial" w:cs="Arial" w:eastAsia="Arial" w:hAnsi="Arial"/>
          <w:sz w:val="16"/>
          <w:szCs w:val="16"/>
          <w:color w:val="auto"/>
        </w:rPr>
      </w:pPr>
    </w:p>
    <w:p>
      <w:pPr>
        <w:ind w:left="1300" w:right="120" w:hanging="644"/>
        <w:spacing w:after="0" w:line="277" w:lineRule="auto"/>
        <w:tabs>
          <w:tab w:leader="none" w:pos="13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ectPr>
          <w:pgSz w:w="11900" w:h="16838" w:orient="portrait"/>
          <w:cols w:equalWidth="0" w:num="1">
            <w:col w:w="11420"/>
          </w:cols>
          <w:pgMar w:left="240" w:top="337" w:right="239" w:bottom="0" w:gutter="0" w:footer="0" w:header="0"/>
        </w:sectPr>
      </w:pPr>
    </w:p>
    <w:bookmarkStart w:id="120" w:name="page121"/>
    <w:bookmarkEnd w:id="120"/>
    <w:p>
      <w:pPr>
        <w:ind w:left="1300" w:right="340" w:hanging="644"/>
        <w:spacing w:after="0" w:line="264" w:lineRule="auto"/>
        <w:tabs>
          <w:tab w:leader="none" w:pos="130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23.8 by the Committee shall be attached to this Plan document as appendices;</w:t>
      </w:r>
    </w:p>
    <w:p>
      <w:pPr>
        <w:spacing w:after="0" w:line="181" w:lineRule="exact"/>
        <w:rPr>
          <w:rFonts w:ascii="Arial" w:cs="Arial" w:eastAsia="Arial" w:hAnsi="Arial"/>
          <w:sz w:val="18"/>
          <w:szCs w:val="18"/>
          <w:color w:val="auto"/>
        </w:rPr>
      </w:pPr>
    </w:p>
    <w:p>
      <w:pPr>
        <w:ind w:left="1300" w:right="820" w:hanging="644"/>
        <w:spacing w:after="0" w:line="277" w:lineRule="auto"/>
        <w:tabs>
          <w:tab w:leader="none" w:pos="131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70" w:lineRule="exact"/>
        <w:rPr>
          <w:rFonts w:ascii="Arial" w:cs="Arial" w:eastAsia="Arial" w:hAnsi="Arial"/>
          <w:sz w:val="18"/>
          <w:szCs w:val="18"/>
          <w:color w:val="auto"/>
        </w:rPr>
      </w:pPr>
    </w:p>
    <w:p>
      <w:pPr>
        <w:ind w:left="1300" w:right="440" w:hanging="644"/>
        <w:spacing w:after="0" w:line="342" w:lineRule="auto"/>
        <w:tabs>
          <w:tab w:leader="none" w:pos="131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Provide for a longer term for Nonqualified Stock Options and SARs granted to Participants outside the United States to accommodate regulations in non-U.S. jurisdictions that require a minimum exercise or vesting period following a participant’s death.</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23.8 of this Plan: (i) to reserve shares or grant Awards in excess of the limitations provided in Section 4.1 of this Plan; (ii) in violation of Section 20.1(b) of this Plan; (iii) to grant Options or Stock Appreciation Rights having an exercise price in violation of Section 6.3 or 7.3 of this Plan, as the case may be; or (iv) for which shareholder approval would then be required pursuant to Code Section 422 or the rules of the New York Stock Exchange (or other applicable exchange or market on which the Company’s Shares may be traded or quoted).</w:t>
      </w:r>
    </w:p>
    <w:p>
      <w:pPr>
        <w:spacing w:after="0" w:line="189"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b w:val="1"/>
          <w:bCs w:val="1"/>
          <w:color w:val="auto"/>
        </w:rPr>
        <w:t>23.9 Uncertificated Shares</w:t>
      </w:r>
      <w:r>
        <w:rPr>
          <w:rFonts w:ascii="Arial" w:cs="Arial" w:eastAsia="Arial" w:hAnsi="Arial"/>
          <w:sz w:val="17"/>
          <w:szCs w:val="17"/>
          <w:color w:val="auto"/>
        </w:rPr>
        <w:t>. To the extent that this Plan provides for issuance of certificates to reflect the transfer of Shares, the transfer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may be effected on a noncertificated or book entry basis, to the extent not prohibited by applicable law or the rules of any stock exchange.</w:t>
      </w:r>
    </w:p>
    <w:p>
      <w:pPr>
        <w:spacing w:after="0" w:line="138"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23.10 Unfunded Plan</w:t>
      </w:r>
      <w:r>
        <w:rPr>
          <w:rFonts w:ascii="Arial" w:cs="Arial" w:eastAsia="Arial" w:hAnsi="Arial"/>
          <w:sz w:val="16"/>
          <w:szCs w:val="16"/>
          <w:color w:val="auto"/>
        </w:rPr>
        <w:t>. Participants shall have no right, title or interest whatsoever in or to any investments that the Company, its Subsidiaries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 separate fund shall be established and no segregation of assets shall be made to assure payment of such amounts except as expressly set forth in this Plan.</w:t>
      </w:r>
    </w:p>
    <w:p>
      <w:pPr>
        <w:spacing w:after="0" w:line="162"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23.11 No Fractional Shares</w:t>
      </w:r>
      <w:r>
        <w:rPr>
          <w:rFonts w:ascii="Arial" w:cs="Arial" w:eastAsia="Arial" w:hAnsi="Arial"/>
          <w:sz w:val="18"/>
          <w:szCs w:val="18"/>
          <w:color w:val="auto"/>
        </w:rPr>
        <w:t>. No fractional Shares shall be issued or delivered pursuant to this Plan or any Award. The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cash, Awards or other property shall be issued or paid in lieu of fractional Shares or whether such fractional Shares or any rights thereto shall be forfeited or otherwise eliminated.</w:t>
      </w:r>
    </w:p>
    <w:p>
      <w:pPr>
        <w:spacing w:after="0" w:line="176"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23.12 Retirement and Welfare Plans</w:t>
      </w:r>
      <w:r>
        <w:rPr>
          <w:rFonts w:ascii="Arial" w:cs="Arial" w:eastAsia="Arial" w:hAnsi="Arial"/>
          <w:sz w:val="16"/>
          <w:szCs w:val="16"/>
          <w:color w:val="auto"/>
        </w:rPr>
        <w:t>. Neither Awards made under this Plan nor Shares or cash paid pursuant to such Awards may be included as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for purposes of computing the benefits payable to any Participant under the Company’s or any Subsidiary’s or Affiliate’s retirement plans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(both qualified and nonqualified) or welfare benefit plans unless such other plan expressly provides that such compensation shall be taken into account in computing a Participant’s benefit.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Deferred Compensation</w:t>
      </w:r>
      <w:r>
        <w:rPr>
          <w:rFonts w:ascii="Arial" w:cs="Arial" w:eastAsia="Arial" w:hAnsi="Arial"/>
          <w:sz w:val="16"/>
          <w:szCs w:val="16"/>
          <w:color w:val="auto"/>
        </w:rPr>
        <w:t>.</w:t>
      </w:r>
    </w:p>
    <w:p>
      <w:pPr>
        <w:spacing w:after="0" w:line="229" w:lineRule="exact"/>
        <w:rPr>
          <w:sz w:val="20"/>
          <w:szCs w:val="20"/>
          <w:color w:val="auto"/>
        </w:rPr>
      </w:pPr>
    </w:p>
    <w:p>
      <w:pPr>
        <w:ind w:left="1300" w:right="80" w:hanging="644"/>
        <w:spacing w:after="0" w:line="259" w:lineRule="auto"/>
        <w:tabs>
          <w:tab w:leader="none" w:pos="13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186" w:lineRule="exact"/>
        <w:rPr>
          <w:rFonts w:ascii="Arial" w:cs="Arial" w:eastAsia="Arial" w:hAnsi="Arial"/>
          <w:sz w:val="18"/>
          <w:szCs w:val="18"/>
          <w:color w:val="auto"/>
        </w:rPr>
      </w:pPr>
    </w:p>
    <w:p>
      <w:pPr>
        <w:ind w:left="1300" w:right="160" w:hanging="644"/>
        <w:spacing w:after="0" w:line="293" w:lineRule="auto"/>
        <w:tabs>
          <w:tab w:leader="none" w:pos="130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reform this Plan and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23.13(b) without further consideration or action.</w:t>
      </w:r>
    </w:p>
    <w:p>
      <w:pPr>
        <w:spacing w:after="0" w:line="161"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23.14 Nonexclusivity of this Plan</w:t>
      </w:r>
      <w:r>
        <w:rPr>
          <w:rFonts w:ascii="Arial" w:cs="Arial" w:eastAsia="Arial" w:hAnsi="Arial"/>
          <w:sz w:val="18"/>
          <w:szCs w:val="18"/>
          <w:color w:val="auto"/>
        </w:rPr>
        <w:t>. The adoption of this Plan shall not be construed as creating any limitations on the power of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adopt such other compensation arrangements as it may deem desirable for any Participant.</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b w:val="1"/>
          <w:bCs w:val="1"/>
          <w:color w:val="auto"/>
        </w:rPr>
        <w:t>23.15 No Constraint on Corporate Action</w:t>
      </w:r>
      <w:r>
        <w:rPr>
          <w:rFonts w:ascii="Arial" w:cs="Arial" w:eastAsia="Arial" w:hAnsi="Arial"/>
          <w:sz w:val="18"/>
          <w:szCs w:val="18"/>
          <w:color w:val="auto"/>
        </w:rPr>
        <w:t>. Nothing in this Plan shall be construed to: (a) limit, impair or otherwise affect the Company’s or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80"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23.16 Governing Law</w:t>
      </w:r>
      <w:r>
        <w:rPr>
          <w:rFonts w:ascii="Arial" w:cs="Arial" w:eastAsia="Arial" w:hAnsi="Arial"/>
          <w:sz w:val="16"/>
          <w:szCs w:val="16"/>
          <w:color w:val="auto"/>
        </w:rPr>
        <w:t>. This Plan and each Award Agreement shall be governed by the laws of the State of Delaware, excluding any conflicts or</w:t>
      </w:r>
      <w:r>
        <w:rPr>
          <w:rFonts w:ascii="Arial" w:cs="Arial" w:eastAsia="Arial" w:hAnsi="Arial"/>
          <w:sz w:val="16"/>
          <w:szCs w:val="16"/>
          <w:b w:val="1"/>
          <w:bCs w:val="1"/>
          <w:color w:val="auto"/>
        </w:rPr>
        <w:t xml:space="preserve"> </w:t>
      </w:r>
      <w:r>
        <w:rPr>
          <w:rFonts w:ascii="Arial" w:cs="Arial" w:eastAsia="Arial" w:hAnsi="Arial"/>
          <w:sz w:val="16"/>
          <w:szCs w:val="16"/>
          <w:color w:val="auto"/>
        </w:rPr>
        <w:t>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w:t>
      </w:r>
    </w:p>
    <w:p>
      <w:pPr>
        <w:spacing w:after="0" w:line="1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23.17 Delivery and Execution of Electronic Documents</w:t>
      </w:r>
      <w:r>
        <w:rPr>
          <w:rFonts w:ascii="Arial" w:cs="Arial" w:eastAsia="Arial" w:hAnsi="Arial"/>
          <w:sz w:val="17"/>
          <w:szCs w:val="17"/>
          <w:color w:val="auto"/>
        </w:rPr>
        <w:t>. To the extent permitted by applicable law, the Company may: (a) deliver by email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electronic means (including posting on a Web site maintained by the Company or by a third party under contract with the 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in a manner prescribed by the Committee.</w:t>
      </w:r>
    </w:p>
    <w:p>
      <w:pPr>
        <w:sectPr>
          <w:pgSz w:w="11900" w:h="16838" w:orient="portrait"/>
          <w:cols w:equalWidth="0" w:num="1">
            <w:col w:w="11400"/>
          </w:cols>
          <w:pgMar w:left="240" w:top="125" w:right="259" w:bottom="47" w:gutter="0" w:footer="0" w:header="0"/>
        </w:sectPr>
      </w:pPr>
    </w:p>
    <w:bookmarkStart w:id="121" w:name="page122"/>
    <w:bookmarkEnd w:id="121"/>
    <w:p>
      <w:pPr>
        <w:ind w:right="20" w:firstLine="648"/>
        <w:spacing w:after="0" w:line="303" w:lineRule="auto"/>
        <w:rPr>
          <w:sz w:val="20"/>
          <w:szCs w:val="20"/>
          <w:color w:val="auto"/>
        </w:rPr>
      </w:pPr>
      <w:r>
        <w:rPr>
          <w:rFonts w:ascii="Arial" w:cs="Arial" w:eastAsia="Arial" w:hAnsi="Arial"/>
          <w:sz w:val="16"/>
          <w:szCs w:val="16"/>
          <w:b w:val="1"/>
          <w:bCs w:val="1"/>
          <w:color w:val="auto"/>
        </w:rPr>
        <w:t>23.18 No Representations or Warranties Regarding Tax Effect</w:t>
      </w:r>
      <w:r>
        <w:rPr>
          <w:rFonts w:ascii="Arial" w:cs="Arial" w:eastAsia="Arial" w:hAnsi="Arial"/>
          <w:sz w:val="16"/>
          <w:szCs w:val="16"/>
          <w:color w:val="auto"/>
        </w:rPr>
        <w:t>. Notwithstanding any provision of this Plan to the contrary, the Company,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Subsidiaries, the Board and the Committee neither represent nor warrant the tax treatment under any federal, state, 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23.19 Indemnification</w:t>
      </w:r>
      <w:r>
        <w:rPr>
          <w:rFonts w:ascii="Arial" w:cs="Arial" w:eastAsia="Arial" w:hAnsi="Arial"/>
          <w:sz w:val="16"/>
          <w:szCs w:val="16"/>
          <w:color w:val="auto"/>
        </w:rPr>
        <w:t>. Subject to requirements of Delaware law, each individual who is or shall have been a member of the Board, or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o"/>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o"/>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o"/>
      <w:numFmt w:val="bullet"/>
      <w:start w:val="1"/>
    </w:lvl>
    <w:lvl w:ilvl="1">
      <w:lvlJc w:val="left"/>
      <w:lvlText w:val="(%2)"/>
      <w:numFmt w:val="decimal"/>
      <w:start w:val="1"/>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decimal"/>
      <w:start w:val="1"/>
    </w:lvl>
  </w:abstractNum>
  <w:abstractNum w:abstractNumId="13">
    <w:nsid w:val="77AE35EB"/>
    <w:multiLevelType w:val="hybridMultilevel"/>
    <w:lvl w:ilvl="0">
      <w:lvlJc w:val="left"/>
      <w:lvlText w:val="(%1)"/>
      <w:numFmt w:val="decimal"/>
      <w:start w:val="5"/>
    </w:lvl>
  </w:abstractNum>
  <w:abstractNum w:abstractNumId="14">
    <w:nsid w:val="579BE4F1"/>
    <w:multiLevelType w:val="hybridMultilevel"/>
    <w:lvl w:ilvl="0">
      <w:lvlJc w:val="left"/>
      <w:lvlText w:val="(%1)"/>
      <w:numFmt w:val="lowerLetter"/>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decimal"/>
      <w:start w:val="1"/>
    </w:lvl>
  </w:abstractNum>
  <w:abstractNum w:abstractNumId="17">
    <w:nsid w:val="2F305DEF"/>
    <w:multiLevelType w:val="hybridMultilevel"/>
    <w:lvl w:ilvl="0">
      <w:lvlJc w:val="left"/>
      <w:lvlText w:val="(%1)"/>
      <w:numFmt w:val="decimal"/>
      <w:start w:val="2"/>
    </w:lvl>
  </w:abstractNum>
  <w:abstractNum w:abstractNumId="18">
    <w:nsid w:val="25A70BF7"/>
    <w:multiLevelType w:val="hybridMultilevel"/>
    <w:lvl w:ilvl="0">
      <w:lvlJc w:val="left"/>
      <w:lvlText w:val="(%1)"/>
      <w:numFmt w:val="decimal"/>
      <w:start w:val="3"/>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1)"/>
      <w:numFmt w:val="lowerLetter"/>
      <w:start w:val="3"/>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1)"/>
      <w:numFmt w:val="decimal"/>
      <w:start w:val="1"/>
    </w:lvl>
  </w:abstractNum>
  <w:abstractNum w:abstractNumId="30">
    <w:nsid w:val="6B94764"/>
    <w:multiLevelType w:val="hybridMultilevel"/>
    <w:lvl w:ilvl="0">
      <w:lvlJc w:val="left"/>
      <w:lvlText w:val="(%1)"/>
      <w:numFmt w:val="decimal"/>
      <w:start w:val="4"/>
    </w:lvl>
  </w:abstractNum>
  <w:abstractNum w:abstractNumId="31">
    <w:nsid w:val="42C296BD"/>
    <w:multiLevelType w:val="hybridMultilevel"/>
    <w:lvl w:ilvl="0">
      <w:lvlJc w:val="left"/>
      <w:lvlText w:val="(%1)"/>
      <w:numFmt w:val="decimal"/>
      <w:start w:val="5"/>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3"/>
    </w:lvl>
  </w:abstractNum>
  <w:abstractNum w:abstractNumId="42">
    <w:nsid w:val="42963E5A"/>
    <w:multiLevelType w:val="hybridMultilevel"/>
    <w:lvl w:ilvl="0">
      <w:lvlJc w:val="left"/>
      <w:lvlText w:val="(%1)"/>
      <w:numFmt w:val="decimal"/>
      <w:start w:val="6"/>
    </w:lvl>
  </w:abstractNum>
  <w:abstractNum w:abstractNumId="43">
    <w:nsid w:val="A0382C5"/>
    <w:multiLevelType w:val="hybridMultilevel"/>
    <w:lvl w:ilvl="0">
      <w:lvlJc w:val="left"/>
      <w:lvlText w:val="(%1)"/>
      <w:numFmt w:val="decimal"/>
      <w:start w:val="1"/>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2"/>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decimal"/>
      <w:start w:val="1"/>
    </w:lvl>
  </w:abstractNum>
  <w:abstractNum w:abstractNumId="48">
    <w:nsid w:val="4962813B"/>
    <w:multiLevelType w:val="hybridMultilevel"/>
    <w:lvl w:ilvl="0">
      <w:lvlJc w:val="left"/>
      <w:lvlText w:val="(%1)"/>
      <w:numFmt w:val="decimal"/>
      <w:start w:val="2"/>
    </w:lvl>
  </w:abstractNum>
  <w:abstractNum w:abstractNumId="49">
    <w:nsid w:val="60B6DF70"/>
    <w:multiLevelType w:val="hybridMultilevel"/>
    <w:lvl w:ilvl="0">
      <w:lvlJc w:val="left"/>
      <w:lvlText w:val="(%1)"/>
      <w:numFmt w:val="decimal"/>
      <w:start w:val="3"/>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1)"/>
      <w:numFmt w:val="lowerLetter"/>
      <w:start w:val="5"/>
    </w:lvl>
  </w:abstractNum>
  <w:abstractNum w:abstractNumId="72">
    <w:nsid w:val="57FC4FBB"/>
    <w:multiLevelType w:val="hybridMultilevel"/>
    <w:lvl w:ilvl="0">
      <w:lvlJc w:val="left"/>
      <w:lvlText w:val="(%1)"/>
      <w:numFmt w:val="lowerLetter"/>
      <w:start w:val="2"/>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decimal"/>
      <w:start w:val="1"/>
    </w:lvl>
  </w:abstractNum>
  <w:abstractNum w:abstractNumId="75">
    <w:nsid w:val="60EF0119"/>
    <w:multiLevelType w:val="hybridMultilevel"/>
    <w:lvl w:ilvl="0">
      <w:lvlJc w:val="left"/>
      <w:lvlText w:val="(%1)"/>
      <w:numFmt w:val="lowerLetter"/>
      <w:start w:val="1"/>
    </w:lvl>
  </w:abstractNum>
  <w:abstractNum w:abstractNumId="76">
    <w:nsid w:val="26F324BA"/>
    <w:multiLevelType w:val="hybridMultilevel"/>
    <w:lvl w:ilvl="0">
      <w:lvlJc w:val="left"/>
      <w:lvlText w:val="(%1)"/>
      <w:numFmt w:val="lowerLetter"/>
      <w:start w:val="4"/>
    </w:lvl>
  </w:abstractNum>
  <w:abstractNum w:abstractNumId="77">
    <w:nsid w:val="7F01579B"/>
    <w:multiLevelType w:val="hybridMultilevel"/>
    <w:lvl w:ilvl="0">
      <w:lvlJc w:val="left"/>
      <w:lvlText w:val="(%1)"/>
      <w:numFmt w:val="lowerLetter"/>
      <w:start w:val="1"/>
    </w:lvl>
  </w:abstractNum>
  <w:abstractNum w:abstractNumId="78">
    <w:nsid w:val="49DA307D"/>
    <w:multiLevelType w:val="hybridMultilevel"/>
    <w:lvl w:ilvl="0">
      <w:lvlJc w:val="left"/>
      <w:lvlText w:val="(%1)"/>
      <w:numFmt w:val="lowerLetter"/>
      <w:start w:val="1"/>
    </w:lvl>
  </w:abstractNum>
  <w:abstractNum w:abstractNumId="79">
    <w:nsid w:val="7055A5F5"/>
    <w:multiLevelType w:val="hybridMultilevel"/>
    <w:lvl w:ilvl="0">
      <w:lvlJc w:val="left"/>
      <w:lvlText w:val="(%1)"/>
      <w:numFmt w:val="lowerLetter"/>
      <w:start w:val="1"/>
    </w:lvl>
  </w:abstractNum>
  <w:abstractNum w:abstractNumId="80">
    <w:nsid w:val="5FB8370B"/>
    <w:multiLevelType w:val="hybridMultilevel"/>
    <w:lvl w:ilvl="0">
      <w:lvlJc w:val="left"/>
      <w:lvlText w:val="(%1)"/>
      <w:numFmt w:val="lowerLetter"/>
      <w:start w:val="1"/>
    </w:lvl>
  </w:abstractNum>
  <w:abstractNum w:abstractNumId="81">
    <w:nsid w:val="50801EE1"/>
    <w:multiLevelType w:val="hybridMultilevel"/>
    <w:lvl w:ilvl="0">
      <w:lvlJc w:val="left"/>
      <w:lvlText w:val="(%1)"/>
      <w:numFmt w:val="lowerLetter"/>
      <w:start w:val="1"/>
    </w:lvl>
  </w:abstractNum>
  <w:abstractNum w:abstractNumId="82">
    <w:nsid w:val="488AC1A"/>
    <w:multiLevelType w:val="hybridMultilevel"/>
    <w:lvl w:ilvl="0">
      <w:lvlJc w:val="left"/>
      <w:lvlText w:val="(%1)"/>
      <w:numFmt w:val="lowerLetter"/>
      <w:start w:val="4"/>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1)"/>
      <w:numFmt w:val="lowerRoman"/>
      <w:start w:val="2"/>
    </w:lvl>
  </w:abstractNum>
  <w:abstractNum w:abstractNumId="85">
    <w:nsid w:val="7672BD23"/>
    <w:multiLevelType w:val="hybridMultilevel"/>
    <w:lvl w:ilvl="0">
      <w:lvlJc w:val="left"/>
      <w:lvlText w:val="(%1)"/>
      <w:numFmt w:val="lowerLetter"/>
      <w:start w:val="1"/>
    </w:lvl>
  </w:abstractNum>
  <w:abstractNum w:abstractNumId="86">
    <w:nsid w:val="6FC75AF8"/>
    <w:multiLevelType w:val="hybridMultilevel"/>
    <w:lvl w:ilvl="0">
      <w:lvlJc w:val="left"/>
      <w:lvlText w:val="(%1)"/>
      <w:numFmt w:val="lowerLetter"/>
      <w:start w:val="1"/>
    </w:lvl>
  </w:abstractNum>
  <w:abstractNum w:abstractNumId="87">
    <w:nsid w:val="6A5F7029"/>
    <w:multiLevelType w:val="hybridMultilevel"/>
    <w:lvl w:ilvl="0">
      <w:lvlJc w:val="left"/>
      <w:lvlText w:val="(%1)"/>
      <w:numFmt w:val="lowerLetter"/>
      <w:start w:val="5"/>
    </w:lvl>
  </w:abstractNum>
  <w:abstractNum w:abstractNumId="88">
    <w:nsid w:val="7D5E18F8"/>
    <w:multiLevelType w:val="hybridMultilevel"/>
    <w:lvl w:ilvl="0">
      <w:lvlJc w:val="left"/>
      <w:lvlText w:val="(%1)"/>
      <w:numFmt w:val="lowerLetter"/>
      <w:start w:val="6"/>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lowerLetter"/>
      <w:start w:val="2"/>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lowerLetter"/>
      <w:start w:val="1"/>
    </w:lvl>
  </w:abstractNum>
  <w:abstractNum w:abstractNumId="93">
    <w:nsid w:val="3FA62ACA"/>
    <w:multiLevelType w:val="hybridMultilevel"/>
    <w:lvl w:ilvl="0">
      <w:lvlJc w:val="left"/>
      <w:lvlText w:val="(%1)"/>
      <w:numFmt w:val="lowerLetter"/>
      <w:start w:val="2"/>
    </w:lvl>
  </w:abstractNum>
  <w:abstractNum w:abstractNumId="94">
    <w:nsid w:val="14FCE74E"/>
    <w:multiLevelType w:val="hybridMultilevel"/>
    <w:lvl w:ilvl="0">
      <w:lvlJc w:val="left"/>
      <w:lvlText w:val="(%1)"/>
      <w:numFmt w:val="lowerLetter"/>
      <w:start w:val="1"/>
    </w:lvl>
  </w:abstractNum>
  <w:abstractNum w:abstractNumId="95">
    <w:nsid w:val="6A3DD3E8"/>
    <w:multiLevelType w:val="hybridMultilevel"/>
    <w:lvl w:ilvl="0">
      <w:lvlJc w:val="left"/>
      <w:lvlText w:val="(%1)"/>
      <w:numFmt w:val="lowerLetter"/>
      <w:start w:val="4"/>
    </w:lvl>
  </w:abstractNum>
  <w:abstractNum w:abstractNumId="96">
    <w:nsid w:val="71C91298"/>
    <w:multiLevelType w:val="hybridMultilevel"/>
    <w:lvl w:ilvl="0">
      <w:lvlJc w:val="left"/>
      <w:lvlText w:val="(%1)"/>
      <w:numFmt w:val="lowerLetter"/>
      <w:start w:val="5"/>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1)"/>
      <w:numFmt w:val="lowerLetter"/>
      <w:start w:val="2"/>
    </w:lvl>
  </w:abstractNum>
  <w:abstractNum w:abstractNumId="99">
    <w:nsid w:val="1FBFE8E0"/>
    <w:multiLevelType w:val="hybridMultilevel"/>
    <w:lvl w:ilvl="0">
      <w:lvlJc w:val="left"/>
      <w:lvlText w:val="(%1)"/>
      <w:numFmt w:val="lowerLetter"/>
      <w:start w:val="1"/>
    </w:lvl>
    <w:lvl w:ilvl="1">
      <w:lvlJc w:val="left"/>
      <w:lvlText w:val="(%2)"/>
      <w:numFmt w:val="lowerRoman"/>
      <w:start w:val="1"/>
    </w:lvl>
  </w:abstractNum>
  <w:abstractNum w:abstractNumId="100">
    <w:nsid w:val="5092CA79"/>
    <w:multiLevelType w:val="hybridMultilevel"/>
    <w:lvl w:ilvl="0">
      <w:lvlJc w:val="left"/>
      <w:lvlText w:val="%1"/>
      <w:numFmt w:val="lowerLetter"/>
      <w:start w:val="1"/>
    </w:lvl>
    <w:lvl w:ilvl="1">
      <w:lvlJc w:val="left"/>
      <w:lvlText w:val="(%2)"/>
      <w:numFmt w:val="lowerRoman"/>
      <w:start w:val="5"/>
    </w:lvl>
  </w:abstractNum>
  <w:abstractNum w:abstractNumId="101">
    <w:nsid w:val="1D545C4D"/>
    <w:multiLevelType w:val="hybridMultilevel"/>
    <w:lvl w:ilvl="0">
      <w:lvlJc w:val="left"/>
      <w:lvlText w:val="(%1)"/>
      <w:numFmt w:val="lowerLetter"/>
      <w:start w:val="3"/>
    </w:lvl>
    <w:lvl w:ilvl="1">
      <w:lvlJc w:val="left"/>
      <w:lvlText w:val="(%2)"/>
      <w:numFmt w:val="lowerRoman"/>
      <w:start w:val="1"/>
    </w:lvl>
  </w:abstractNum>
  <w:abstractNum w:abstractNumId="102">
    <w:nsid w:val="59ADEA3D"/>
    <w:multiLevelType w:val="hybridMultilevel"/>
    <w:lvl w:ilvl="0">
      <w:lvlJc w:val="left"/>
      <w:lvlText w:val="(%1)"/>
      <w:numFmt w:val="lowerRoman"/>
      <w:start w:val="1"/>
    </w:lvl>
  </w:abstractNum>
  <w:abstractNum w:abstractNumId="103">
    <w:nsid w:val="288F1A34"/>
    <w:multiLevelType w:val="hybridMultilevel"/>
    <w:lvl w:ilvl="0">
      <w:lvlJc w:val="left"/>
      <w:lvlText w:val="%1"/>
      <w:numFmt w:val="lowerLetter"/>
      <w:start w:val="1"/>
    </w:lvl>
    <w:lvl w:ilvl="1">
      <w:lvlJc w:val="left"/>
      <w:lvlText w:val="(%2)"/>
      <w:numFmt w:val="lowerRoman"/>
      <w:start w:val="8"/>
    </w:lvl>
  </w:abstractNum>
  <w:abstractNum w:abstractNumId="104">
    <w:nsid w:val="2A155DBC"/>
    <w:multiLevelType w:val="hybridMultilevel"/>
    <w:lvl w:ilvl="0">
      <w:lvlJc w:val="left"/>
      <w:lvlText w:val="(%1)"/>
      <w:numFmt w:val="lowerLetter"/>
      <w:start w:val="7"/>
    </w:lvl>
    <w:lvl w:ilvl="1">
      <w:lvlJc w:val="left"/>
      <w:lvlText w:val="(%2)"/>
      <w:numFmt w:val="lowerRoman"/>
      <w:start w:val="1"/>
    </w:lvl>
  </w:abstractNum>
  <w:abstractNum w:abstractNumId="105">
    <w:nsid w:val="1D9F6E5F"/>
    <w:multiLevelType w:val="hybridMultilevel"/>
    <w:lvl w:ilvl="0">
      <w:lvlJc w:val="left"/>
      <w:lvlText w:val="(%1)"/>
      <w:numFmt w:val="lowerLetter"/>
      <w:start w:val="20"/>
    </w:lvl>
  </w:abstractNum>
  <w:abstractNum w:abstractNumId="106">
    <w:nsid w:val="97E1B4E"/>
    <w:multiLevelType w:val="hybridMultilevel"/>
    <w:lvl w:ilvl="0">
      <w:lvlJc w:val="left"/>
      <w:lvlText w:val="(%1)"/>
      <w:numFmt w:val="lowerLetter"/>
      <w:start w:val="3"/>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1"/>
    </w:lvl>
  </w:abstractNum>
  <w:abstractNum w:abstractNumId="109">
    <w:nsid w:val="53584BCB"/>
    <w:multiLevelType w:val="hybridMultilevel"/>
    <w:lvl w:ilvl="0">
      <w:lvlJc w:val="left"/>
      <w:lvlText w:val="(%1)"/>
      <w:numFmt w:val="lowerLetter"/>
      <w:start w:val="1"/>
    </w:lvl>
  </w:abstractNum>
  <w:abstractNum w:abstractNumId="110">
    <w:nsid w:val="415E286C"/>
    <w:multiLevelType w:val="hybridMultilevel"/>
    <w:lvl w:ilvl="0">
      <w:lvlJc w:val="left"/>
      <w:lvlText w:val="(%1)"/>
      <w:numFmt w:val="lowerLetter"/>
      <w:start w:val="4"/>
    </w:lvl>
  </w:abstractNum>
  <w:abstractNum w:abstractNumId="111">
    <w:nsid w:val="7C58FD0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2019-12-10T05:19:10Z</dcterms:created>
  <dcterms:modified xsi:type="dcterms:W3CDTF">2019-12-10T05:19:10Z</dcterms:modified>
</cp:coreProperties>
</file>