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Dordell Timothy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03/05/2014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3"/>
        <w:spacing w:after="0"/>
        <w:rPr>
          <w:sz w:val="20"/>
          <w:szCs w:val="20"/>
          <w:color w:val="auto"/>
        </w:rPr>
      </w:pPr>
      <w:r>
        <w:rPr>
          <w:rFonts w:ascii="Arial" w:cs="Arial" w:eastAsia="Arial" w:hAnsi="Arial"/>
          <w:sz w:val="16"/>
          <w:szCs w:val="16"/>
          <w:color w:val="0000FF"/>
        </w:rPr>
        <w:t>VP, Secretary, General Counsel</w:t>
      </w:r>
    </w:p>
    <w:p>
      <w:pPr>
        <w:spacing w:after="0" w:line="33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5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5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4"/>
                <w:szCs w:val="24"/>
                <w:color w:val="auto"/>
              </w:rPr>
            </w:pPr>
          </w:p>
        </w:tc>
        <w:tc>
          <w:tcPr>
            <w:tcW w:w="1800" w:type="dxa"/>
            <w:vAlign w:val="bottom"/>
            <w:gridSpan w:val="2"/>
          </w:tcPr>
          <w:p>
            <w:pPr>
              <w:ind w:left="840"/>
              <w:spacing w:after="0"/>
              <w:rPr>
                <w:sz w:val="20"/>
                <w:szCs w:val="20"/>
                <w:color w:val="auto"/>
              </w:rPr>
            </w:pPr>
            <w:r>
              <w:rPr>
                <w:rFonts w:ascii="Arial" w:cs="Arial" w:eastAsia="Arial" w:hAnsi="Arial"/>
                <w:sz w:val="18"/>
                <w:szCs w:val="18"/>
                <w:color w:val="0000FF"/>
              </w:rPr>
              <w:t>03/05/2014</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0000FF"/>
              </w:rPr>
              <w:t>G</w:t>
            </w:r>
          </w:p>
        </w:tc>
        <w:tc>
          <w:tcPr>
            <w:tcW w:w="400" w:type="dxa"/>
            <w:vAlign w:val="bottom"/>
          </w:tcPr>
          <w:p>
            <w:pPr>
              <w:ind w:left="140"/>
              <w:spacing w:after="0"/>
              <w:rPr>
                <w:sz w:val="20"/>
                <w:szCs w:val="20"/>
                <w:color w:val="auto"/>
              </w:rPr>
            </w:pPr>
            <w:r>
              <w:rPr>
                <w:rFonts w:ascii="Arial" w:cs="Arial" w:eastAsia="Arial" w:hAnsi="Arial"/>
                <w:sz w:val="14"/>
                <w:szCs w:val="14"/>
                <w:color w:val="0000FF"/>
              </w:rPr>
              <w:t>V</w:t>
            </w:r>
          </w:p>
        </w:tc>
        <w:tc>
          <w:tcPr>
            <w:tcW w:w="560" w:type="dxa"/>
            <w:vAlign w:val="bottom"/>
          </w:tcPr>
          <w:p>
            <w:pPr>
              <w:ind w:left="260"/>
              <w:spacing w:after="0"/>
              <w:rPr>
                <w:sz w:val="20"/>
                <w:szCs w:val="20"/>
                <w:color w:val="auto"/>
              </w:rPr>
            </w:pPr>
            <w:r>
              <w:rPr>
                <w:rFonts w:ascii="Arial" w:cs="Arial" w:eastAsia="Arial" w:hAnsi="Arial"/>
                <w:sz w:val="18"/>
                <w:szCs w:val="18"/>
                <w:color w:val="0000FF"/>
                <w:w w:val="93"/>
              </w:rPr>
              <w:t>155</w:t>
            </w:r>
          </w:p>
        </w:tc>
        <w:tc>
          <w:tcPr>
            <w:tcW w:w="760" w:type="dxa"/>
            <w:vAlign w:val="bottom"/>
          </w:tcPr>
          <w:p>
            <w:pPr>
              <w:ind w:left="440"/>
              <w:spacing w:after="0"/>
              <w:rPr>
                <w:sz w:val="20"/>
                <w:szCs w:val="20"/>
                <w:color w:val="auto"/>
              </w:rPr>
            </w:pPr>
            <w:r>
              <w:rPr>
                <w:rFonts w:ascii="Arial" w:cs="Arial" w:eastAsia="Arial" w:hAnsi="Arial"/>
                <w:sz w:val="18"/>
                <w:szCs w:val="18"/>
                <w:color w:val="0000FF"/>
              </w:rPr>
              <w:t>D</w:t>
            </w:r>
          </w:p>
        </w:tc>
        <w:tc>
          <w:tcPr>
            <w:tcW w:w="620" w:type="dxa"/>
            <w:vAlign w:val="bottom"/>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60" w:type="dxa"/>
            <w:vAlign w:val="bottom"/>
            <w:gridSpan w:val="2"/>
          </w:tcPr>
          <w:p>
            <w:pPr>
              <w:jc w:val="center"/>
              <w:ind w:right="159"/>
              <w:spacing w:after="0"/>
              <w:rPr>
                <w:sz w:val="20"/>
                <w:szCs w:val="20"/>
                <w:color w:val="auto"/>
              </w:rPr>
            </w:pPr>
            <w:r>
              <w:rPr>
                <w:rFonts w:ascii="Arial" w:cs="Arial" w:eastAsia="Arial" w:hAnsi="Arial"/>
                <w:sz w:val="18"/>
                <w:szCs w:val="18"/>
                <w:color w:val="0000FF"/>
              </w:rPr>
              <w:t>3,028.411</w:t>
            </w:r>
            <w:r>
              <w:rPr>
                <w:rFonts w:ascii="Arial" w:cs="Arial" w:eastAsia="Arial" w:hAnsi="Arial"/>
                <w:sz w:val="22"/>
                <w:szCs w:val="22"/>
                <w:color w:val="008000"/>
                <w:vertAlign w:val="superscript"/>
              </w:rPr>
              <w:t>(1)</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18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14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400" w:type="dxa"/>
            <w:vAlign w:val="bottom"/>
            <w:tcBorders>
              <w:top w:val="single" w:sz="8" w:color="2C2C2C"/>
              <w:bottom w:val="single" w:sz="8" w:color="2C2C2C"/>
            </w:tcBorders>
          </w:tcPr>
          <w:p>
            <w:pPr>
              <w:spacing w:after="0"/>
              <w:rPr>
                <w:sz w:val="24"/>
                <w:szCs w:val="24"/>
                <w:color w:val="auto"/>
              </w:rPr>
            </w:pPr>
          </w:p>
        </w:tc>
        <w:tc>
          <w:tcPr>
            <w:tcW w:w="56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3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240" w:type="dxa"/>
            <w:vAlign w:val="bottom"/>
            <w:tcBorders>
              <w:top w:val="single" w:sz="8" w:color="2C2C2C"/>
              <w:bottom w:val="single" w:sz="8" w:color="2C2C2C"/>
            </w:tcBorders>
          </w:tcPr>
          <w:p>
            <w:pPr>
              <w:spacing w:after="0"/>
              <w:rPr>
                <w:sz w:val="24"/>
                <w:szCs w:val="24"/>
                <w:color w:val="auto"/>
              </w:rPr>
            </w:pPr>
          </w:p>
        </w:tc>
        <w:tc>
          <w:tcPr>
            <w:tcW w:w="1260" w:type="dxa"/>
            <w:vAlign w:val="bottom"/>
            <w:tcBorders>
              <w:top w:val="single" w:sz="8" w:color="2C2C2C"/>
              <w:bottom w:val="single" w:sz="8" w:color="2C2C2C"/>
            </w:tcBorders>
            <w:gridSpan w:val="2"/>
          </w:tcPr>
          <w:p>
            <w:pPr>
              <w:jc w:val="center"/>
              <w:ind w:right="99"/>
              <w:spacing w:after="0"/>
              <w:rPr>
                <w:sz w:val="20"/>
                <w:szCs w:val="20"/>
                <w:color w:val="auto"/>
              </w:rPr>
            </w:pPr>
            <w:r>
              <w:rPr>
                <w:rFonts w:ascii="Arial" w:cs="Arial" w:eastAsia="Arial" w:hAnsi="Arial"/>
                <w:sz w:val="18"/>
                <w:szCs w:val="18"/>
                <w:color w:val="0000FF"/>
                <w:w w:val="98"/>
              </w:rPr>
              <w:t>40,944.034</w:t>
            </w:r>
            <w:r>
              <w:rPr>
                <w:rFonts w:ascii="Arial" w:cs="Arial" w:eastAsia="Arial" w:hAnsi="Arial"/>
                <w:sz w:val="22"/>
                <w:szCs w:val="22"/>
                <w:color w:val="008000"/>
                <w:w w:val="98"/>
                <w:vertAlign w:val="superscript"/>
              </w:rPr>
              <w:t>(2)</w:t>
            </w:r>
          </w:p>
        </w:tc>
        <w:tc>
          <w:tcPr>
            <w:tcW w:w="920" w:type="dxa"/>
            <w:vAlign w:val="bottom"/>
            <w:tcBorders>
              <w:top w:val="single" w:sz="8" w:color="2C2C2C"/>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96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Exercisable  Date</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0.443 shares of common stock acquired by the reporting person under The Toro Company Dividend Reinvestment Plan since the date of his last report.</w:t>
      </w:r>
    </w:p>
    <w:p>
      <w:pPr>
        <w:spacing w:after="0" w:line="41" w:lineRule="exact"/>
        <w:rPr>
          <w:rFonts w:ascii="Arial" w:cs="Arial" w:eastAsia="Arial" w:hAnsi="Arial"/>
          <w:sz w:val="14"/>
          <w:szCs w:val="14"/>
          <w:color w:val="008000"/>
        </w:rPr>
      </w:pPr>
    </w:p>
    <w:p>
      <w:pPr>
        <w:ind w:left="40" w:right="1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126.184 performance share units acquired by the reporting person under the dividend reinvestment feature of The Toro Company Deferred Compensation Plan for Officers since the date of his last report.</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03/10/2014</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7065"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2019-12-17T02:31:10Z</dcterms:created>
  <dcterms:modified xsi:type="dcterms:W3CDTF">2019-12-17T02:31:10Z</dcterms:modified>
</cp:coreProperties>
</file>