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446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465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52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Redetzke Darren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12/06/2018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26"/>
        <w:spacing w:after="0"/>
        <w:rPr>
          <w:sz w:val="20"/>
          <w:szCs w:val="20"/>
          <w:color w:val="auto"/>
        </w:rPr>
      </w:pPr>
      <w:r>
        <w:rPr>
          <w:rFonts w:ascii="Arial" w:cs="Arial" w:eastAsia="Arial" w:hAnsi="Arial"/>
          <w:sz w:val="17"/>
          <w:szCs w:val="17"/>
          <w:color w:val="0000FF"/>
        </w:rPr>
        <w:t>VP, International Business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524"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52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2"/>
          </w:tcPr>
          <w:p>
            <w:pPr>
              <w:ind w:left="68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12/06/2018</w:t>
            </w: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0000FF"/>
              </w:rPr>
              <w:t>4,249</w:t>
            </w:r>
            <w:r>
              <w:rPr>
                <w:rFonts w:ascii="Arial" w:cs="Arial" w:eastAsia="Arial" w:hAnsi="Arial"/>
                <w:sz w:val="22"/>
                <w:szCs w:val="22"/>
                <w:color w:val="008000"/>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right="15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580" w:type="dxa"/>
            <w:vAlign w:val="bottom"/>
            <w:tcBorders>
              <w:bottom w:val="single" w:sz="8" w:color="2C2C2C"/>
            </w:tcBorders>
            <w:gridSpan w:val="3"/>
          </w:tcPr>
          <w:p>
            <w:pPr>
              <w:jc w:val="center"/>
              <w:ind w:right="319"/>
              <w:spacing w:after="0"/>
              <w:rPr>
                <w:sz w:val="20"/>
                <w:szCs w:val="20"/>
                <w:color w:val="auto"/>
              </w:rPr>
            </w:pPr>
            <w:r>
              <w:rPr>
                <w:rFonts w:ascii="Arial" w:cs="Arial" w:eastAsia="Arial" w:hAnsi="Arial"/>
                <w:sz w:val="17"/>
                <w:szCs w:val="17"/>
                <w:color w:val="0000FF"/>
                <w:w w:val="92"/>
              </w:rPr>
              <w:t>12,314</w:t>
            </w:r>
          </w:p>
        </w:tc>
        <w:tc>
          <w:tcPr>
            <w:tcW w:w="60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780" w:type="dxa"/>
            <w:vAlign w:val="bottom"/>
            <w:gridSpan w:val="2"/>
          </w:tcPr>
          <w:p>
            <w:pPr>
              <w:ind w:left="780"/>
              <w:spacing w:after="0"/>
              <w:rPr>
                <w:sz w:val="20"/>
                <w:szCs w:val="20"/>
                <w:color w:val="auto"/>
              </w:rPr>
            </w:pPr>
            <w:r>
              <w:rPr>
                <w:rFonts w:ascii="Arial" w:cs="Arial" w:eastAsia="Arial" w:hAnsi="Arial"/>
                <w:sz w:val="17"/>
                <w:szCs w:val="17"/>
                <w:color w:val="0000FF"/>
              </w:rPr>
              <w:t>12/06/2018</w:t>
            </w: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60" w:type="dxa"/>
            <w:vAlign w:val="bottom"/>
          </w:tcPr>
          <w:p>
            <w:pPr>
              <w:ind w:left="220"/>
              <w:spacing w:after="0"/>
              <w:rPr>
                <w:sz w:val="20"/>
                <w:szCs w:val="20"/>
                <w:color w:val="auto"/>
              </w:rPr>
            </w:pPr>
            <w:r>
              <w:rPr>
                <w:rFonts w:ascii="Arial" w:cs="Arial" w:eastAsia="Arial" w:hAnsi="Arial"/>
                <w:sz w:val="17"/>
                <w:szCs w:val="17"/>
                <w:color w:val="0000FF"/>
              </w:rPr>
              <w:t>1,301</w:t>
            </w:r>
          </w:p>
        </w:tc>
        <w:tc>
          <w:tcPr>
            <w:tcW w:w="6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58.15</w:t>
            </w:r>
          </w:p>
        </w:tc>
        <w:tc>
          <w:tcPr>
            <w:tcW w:w="1580" w:type="dxa"/>
            <w:vAlign w:val="bottom"/>
            <w:gridSpan w:val="3"/>
          </w:tcPr>
          <w:p>
            <w:pPr>
              <w:jc w:val="center"/>
              <w:ind w:right="319"/>
              <w:spacing w:after="0"/>
              <w:rPr>
                <w:sz w:val="20"/>
                <w:szCs w:val="20"/>
                <w:color w:val="auto"/>
              </w:rPr>
            </w:pPr>
            <w:r>
              <w:rPr>
                <w:rFonts w:ascii="Arial" w:cs="Arial" w:eastAsia="Arial" w:hAnsi="Arial"/>
                <w:sz w:val="17"/>
                <w:szCs w:val="17"/>
                <w:color w:val="0000FF"/>
                <w:w w:val="92"/>
              </w:rPr>
              <w:t>11,013</w:t>
            </w:r>
          </w:p>
        </w:tc>
        <w:tc>
          <w:tcPr>
            <w:tcW w:w="600" w:type="dxa"/>
            <w:vAlign w:val="bottom"/>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right="299"/>
              <w:spacing w:after="0"/>
              <w:rPr>
                <w:sz w:val="20"/>
                <w:szCs w:val="20"/>
                <w:color w:val="auto"/>
              </w:rPr>
            </w:pPr>
            <w:r>
              <w:rPr>
                <w:rFonts w:ascii="Arial" w:cs="Arial" w:eastAsia="Arial" w:hAnsi="Arial"/>
                <w:sz w:val="17"/>
                <w:szCs w:val="17"/>
                <w:color w:val="0000FF"/>
                <w:w w:val="87"/>
              </w:rPr>
              <w:t>8,264.18</w:t>
            </w:r>
            <w:r>
              <w:rPr>
                <w:rFonts w:ascii="Arial" w:cs="Arial" w:eastAsia="Arial" w:hAnsi="Arial"/>
                <w:sz w:val="22"/>
                <w:szCs w:val="22"/>
                <w:color w:val="008000"/>
                <w:w w:val="87"/>
                <w:vertAlign w:val="superscript"/>
              </w:rPr>
              <w:t>(2)</w:t>
            </w:r>
          </w:p>
        </w:tc>
        <w:tc>
          <w:tcPr>
            <w:tcW w:w="60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rPr>
              <w:t>I</w:t>
            </w:r>
          </w:p>
        </w:tc>
        <w:tc>
          <w:tcPr>
            <w:tcW w:w="94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80" w:type="dxa"/>
            <w:vAlign w:val="bottom"/>
            <w:gridSpan w:val="3"/>
          </w:tcPr>
          <w:p>
            <w:pPr>
              <w:jc w:val="center"/>
              <w:ind w:right="299"/>
              <w:spacing w:after="0" w:line="214" w:lineRule="exact"/>
              <w:rPr>
                <w:sz w:val="20"/>
                <w:szCs w:val="20"/>
                <w:color w:val="auto"/>
              </w:rPr>
            </w:pPr>
            <w:r>
              <w:rPr>
                <w:rFonts w:ascii="Arial" w:cs="Arial" w:eastAsia="Arial" w:hAnsi="Arial"/>
                <w:sz w:val="17"/>
                <w:szCs w:val="17"/>
                <w:color w:val="0000FF"/>
                <w:w w:val="87"/>
              </w:rPr>
              <w:t>33,050.38</w:t>
            </w:r>
            <w:r>
              <w:rPr>
                <w:rFonts w:ascii="Arial" w:cs="Arial" w:eastAsia="Arial" w:hAnsi="Arial"/>
                <w:sz w:val="22"/>
                <w:szCs w:val="22"/>
                <w:color w:val="008000"/>
                <w:w w:val="87"/>
                <w:vertAlign w:val="superscript"/>
              </w:rPr>
              <w:t>(3)</w:t>
            </w:r>
          </w:p>
        </w:tc>
        <w:tc>
          <w:tcPr>
            <w:tcW w:w="600" w:type="dxa"/>
            <w:vAlign w:val="bottom"/>
          </w:tcPr>
          <w:p>
            <w:pPr>
              <w:jc w:val="center"/>
              <w:ind w:right="308"/>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right="319"/>
              <w:spacing w:after="0"/>
              <w:rPr>
                <w:sz w:val="20"/>
                <w:szCs w:val="20"/>
                <w:color w:val="auto"/>
              </w:rPr>
            </w:pPr>
            <w:r>
              <w:rPr>
                <w:rFonts w:ascii="Arial" w:cs="Arial" w:eastAsia="Arial" w:hAnsi="Arial"/>
                <w:sz w:val="17"/>
                <w:szCs w:val="17"/>
                <w:color w:val="0000FF"/>
                <w:w w:val="89"/>
              </w:rPr>
              <w:t>22,629.428</w:t>
            </w:r>
            <w:r>
              <w:rPr>
                <w:rFonts w:ascii="Arial" w:cs="Arial" w:eastAsia="Arial" w:hAnsi="Arial"/>
                <w:sz w:val="22"/>
                <w:szCs w:val="22"/>
                <w:color w:val="008000"/>
                <w:w w:val="89"/>
                <w:vertAlign w:val="superscript"/>
              </w:rPr>
              <w:t>(4)</w:t>
            </w:r>
          </w:p>
        </w:tc>
        <w:tc>
          <w:tcPr>
            <w:tcW w:w="60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58.53</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12/07/2018</w:t>
            </w:r>
          </w:p>
        </w:tc>
        <w:tc>
          <w:tcPr>
            <w:tcW w:w="1180" w:type="dxa"/>
            <w:vAlign w:val="bottom"/>
          </w:tcPr>
          <w:p>
            <w:pPr>
              <w:spacing w:after="0"/>
              <w:rPr>
                <w:sz w:val="17"/>
                <w:szCs w:val="17"/>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17"/>
                <w:szCs w:val="17"/>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10,800</w:t>
            </w:r>
          </w:p>
        </w:tc>
        <w:tc>
          <w:tcPr>
            <w:tcW w:w="320" w:type="dxa"/>
            <w:vAlign w:val="bottom"/>
          </w:tcPr>
          <w:p>
            <w:pPr>
              <w:spacing w:after="0"/>
              <w:rPr>
                <w:sz w:val="17"/>
                <w:szCs w:val="17"/>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(5)</w:t>
            </w:r>
          </w:p>
        </w:tc>
        <w:tc>
          <w:tcPr>
            <w:tcW w:w="760" w:type="dxa"/>
            <w:vAlign w:val="bottom"/>
          </w:tcPr>
          <w:p>
            <w:pPr>
              <w:jc w:val="right"/>
              <w:ind w:right="13"/>
              <w:spacing w:after="0"/>
              <w:rPr>
                <w:sz w:val="20"/>
                <w:szCs w:val="20"/>
                <w:color w:val="auto"/>
              </w:rPr>
            </w:pPr>
            <w:r>
              <w:rPr>
                <w:rFonts w:ascii="Arial" w:cs="Arial" w:eastAsia="Arial" w:hAnsi="Arial"/>
                <w:sz w:val="13"/>
                <w:szCs w:val="13"/>
                <w:color w:val="0000FF"/>
              </w:rPr>
              <w:t>12/07/2028</w:t>
            </w: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40" w:type="dxa"/>
            <w:vAlign w:val="bottom"/>
          </w:tcPr>
          <w:p>
            <w:pPr>
              <w:ind w:left="100"/>
              <w:spacing w:after="0"/>
              <w:rPr>
                <w:sz w:val="20"/>
                <w:szCs w:val="20"/>
                <w:color w:val="auto"/>
              </w:rPr>
            </w:pPr>
            <w:r>
              <w:rPr>
                <w:rFonts w:ascii="Arial" w:cs="Arial" w:eastAsia="Arial" w:hAnsi="Arial"/>
                <w:sz w:val="17"/>
                <w:szCs w:val="17"/>
                <w:color w:val="0000FF"/>
                <w:w w:val="99"/>
              </w:rPr>
              <w:t>10,800</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240"/>
              <w:spacing w:after="0"/>
              <w:rPr>
                <w:sz w:val="20"/>
                <w:szCs w:val="20"/>
                <w:color w:val="auto"/>
              </w:rPr>
            </w:pPr>
            <w:r>
              <w:rPr>
                <w:rFonts w:ascii="Arial" w:cs="Arial" w:eastAsia="Arial" w:hAnsi="Arial"/>
                <w:sz w:val="13"/>
                <w:szCs w:val="13"/>
                <w:color w:val="0000FF"/>
              </w:rPr>
              <w:t>10,800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jc w:val="center"/>
              <w:spacing w:after="0" w:line="109" w:lineRule="exact"/>
              <w:rPr>
                <w:sz w:val="20"/>
                <w:szCs w:val="20"/>
                <w:color w:val="auto"/>
              </w:rPr>
            </w:pPr>
            <w:r>
              <w:rPr>
                <w:rFonts w:ascii="Arial" w:cs="Arial" w:eastAsia="Arial" w:hAnsi="Arial"/>
                <w:sz w:val="12"/>
                <w:szCs w:val="12"/>
                <w:color w:val="0000FF"/>
                <w:w w:val="99"/>
              </w:rPr>
              <w:t>Stock</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2016 to Fiscal 2018 Performance Period under The Toro Company Amended and Restated 2010 Equity and Incentive Plan, as amended and restated (the "Amended and Restated 2010 Plan"), as approved by the issuer's Compensation &amp; Human Resources Committee of its Board of Directors on December 4, 2018, and which was conditioned upon and subject to confirmation by the issuer's Fiscal 2018 financial results that were released on December 6, 2018. Performance Share Awards are paid in shares of common stock under the Amended and Restated 2010 Plan.</w:t>
      </w:r>
    </w:p>
    <w:p>
      <w:pPr>
        <w:spacing w:after="0" w:line="25"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55.62 shares of common stock acquired by the reporting person since the date of his last report under a dividend reinvestment feature of the account in which the shares are held.</w:t>
      </w:r>
    </w:p>
    <w:p>
      <w:pPr>
        <w:spacing w:after="0" w:line="51"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221.627 net shares acquired by the reporting person since the date of his last report under the dividend reinvestment feature of The Toro Company Investment, Savings &amp; ESOP less quarterly non-discretionary administrative fees.</w:t>
      </w:r>
    </w:p>
    <w:p>
      <w:pPr>
        <w:spacing w:after="0" w:line="9"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152.541 performance share units acquired by the reporting person since the date of his last report under the dividend reinvestment feature of The Toro Company Deferred Compensation Plan for Officers.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12/10/2018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52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37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2019-12-23T21:16:01Z</dcterms:created>
  <dcterms:modified xsi:type="dcterms:W3CDTF">2019-12-23T21:16:01Z</dcterms:modified>
</cp:coreProperties>
</file>