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 w:lineRule="exact"/>
        <w:rPr>
          <w:sz w:val="24"/>
          <w:szCs w:val="24"/>
          <w:color w:val="auto"/>
        </w:rPr>
      </w:pPr>
    </w:p>
    <w:p>
      <w:pPr>
        <w:jc w:val="center"/>
        <w:ind w:right="-10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1860" w:hanging="492"/>
        <w:spacing w:after="0"/>
        <w:tabs>
          <w:tab w:leader="none" w:pos="18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1700" w:hanging="537"/>
        <w:spacing w:after="0"/>
        <w:tabs>
          <w:tab w:leader="none" w:pos="17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15(d) OF THE SECURITIES EXCHANGE ACT OF 1934</w:t>
      </w:r>
    </w:p>
    <w:p>
      <w:pPr>
        <w:spacing w:after="0" w:line="264" w:lineRule="exact"/>
        <w:rPr>
          <w:sz w:val="24"/>
          <w:szCs w:val="24"/>
          <w:color w:val="auto"/>
        </w:rPr>
      </w:pPr>
    </w:p>
    <w:tbl>
      <w:tblPr>
        <w:tblLayout w:type="fixed"/>
        <w:tblInd w:w="34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1020" w:type="dxa"/>
            <w:vAlign w:val="bottom"/>
            <w:gridSpan w:val="2"/>
          </w:tcPr>
          <w:p>
            <w:pPr>
              <w:ind w:left="40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19"/>
        </w:trPr>
        <w:tc>
          <w:tcPr>
            <w:tcW w:w="3980" w:type="dxa"/>
            <w:vAlign w:val="bottom"/>
            <w:gridSpan w:val="3"/>
          </w:tcPr>
          <w:p>
            <w:pPr>
              <w:ind w:left="980"/>
              <w:spacing w:after="0"/>
              <w:rPr>
                <w:sz w:val="20"/>
                <w:szCs w:val="20"/>
                <w:color w:val="auto"/>
              </w:rPr>
            </w:pPr>
            <w:r>
              <w:rPr>
                <w:rFonts w:ascii="Arial" w:cs="Arial" w:eastAsia="Arial" w:hAnsi="Arial"/>
                <w:sz w:val="18"/>
                <w:szCs w:val="18"/>
                <w:b w:val="1"/>
                <w:bCs w:val="1"/>
                <w:color w:val="auto"/>
              </w:rPr>
              <w:t>Commission file number 1-8649.</w:t>
            </w:r>
          </w:p>
        </w:tc>
        <w:tc>
          <w:tcPr>
            <w:tcW w:w="52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56" w:lineRule="exact"/>
        <w:rPr>
          <w:sz w:val="24"/>
          <w:szCs w:val="24"/>
          <w:color w:val="auto"/>
        </w:rPr>
      </w:pPr>
    </w:p>
    <w:p>
      <w:pPr>
        <w:ind w:left="2260"/>
        <w:spacing w:after="0"/>
        <w:tabs>
          <w:tab w:leader="none" w:pos="25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48"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The Toro Company Investment, Savings, and Employee Stock Ownership Plan</w:t>
      </w:r>
    </w:p>
    <w:p>
      <w:pPr>
        <w:spacing w:after="0" w:line="252"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Minneapolis, MN 55420</w:t>
      </w:r>
    </w:p>
    <w:p>
      <w:pPr>
        <w:spacing w:after="0" w:line="9"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Attn: Director, Tax Accounting</w:t>
      </w:r>
    </w:p>
    <w:p>
      <w:pPr>
        <w:spacing w:after="0" w:line="238" w:lineRule="exact"/>
        <w:rPr>
          <w:sz w:val="24"/>
          <w:szCs w:val="24"/>
          <w:color w:val="auto"/>
        </w:rPr>
      </w:pPr>
    </w:p>
    <w:p>
      <w:pPr>
        <w:jc w:val="center"/>
        <w:ind w:right="-1159"/>
        <w:spacing w:after="0"/>
        <w:tabs>
          <w:tab w:leader="none" w:pos="1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248"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Minneapolis,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749935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800" w:right="1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rPr>
              <w:t>THE TORO COMPANY INVESTMENT, SAVINGS,</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rPr>
              <w:t>AND EMPLOYEE STOCK OWNERSHIP PLAN</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w w:val="89"/>
              </w:rPr>
              <w:t>Table of Contents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80" w:type="dxa"/>
            <w:vAlign w:val="bottom"/>
          </w:tcPr>
          <w:p>
            <w:pPr>
              <w:ind w:left="15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gridSpan w:val="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180" w:type="dxa"/>
            <w:vAlign w:val="bottom"/>
            <w:shd w:val="clear" w:color="auto" w:fill="CCEEFF"/>
          </w:tcPr>
          <w:p>
            <w:pPr>
              <w:jc w:val="center"/>
              <w:ind w:left="109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5020" w:type="dxa"/>
            <w:vAlign w:val="bottom"/>
            <w:tcBorders>
              <w:top w:val="single" w:sz="8" w:color="CCEEFF"/>
            </w:tcBorders>
            <w:gridSpan w:val="3"/>
          </w:tcPr>
          <w:p>
            <w:pPr>
              <w:spacing w:after="0"/>
              <w:rPr>
                <w:sz w:val="15"/>
                <w:szCs w:val="15"/>
                <w:color w:val="auto"/>
              </w:rPr>
            </w:pPr>
          </w:p>
        </w:tc>
        <w:tc>
          <w:tcPr>
            <w:tcW w:w="2180" w:type="dxa"/>
            <w:vAlign w:val="bottom"/>
            <w:tcBorders>
              <w:top w:val="single" w:sz="8" w:color="CCEEFF"/>
            </w:tcBorders>
          </w:tcPr>
          <w:p>
            <w:pPr>
              <w:jc w:val="center"/>
              <w:ind w:left="109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Changes in Net Assets Available for Benefits</w:t>
              </w:r>
            </w:hyperlink>
          </w:p>
        </w:tc>
        <w:tc>
          <w:tcPr>
            <w:tcW w:w="4940" w:type="dxa"/>
            <w:vAlign w:val="bottom"/>
            <w:tcBorders>
              <w:bottom w:val="single" w:sz="8" w:color="CCEEFF"/>
            </w:tcBorders>
            <w:gridSpan w:val="2"/>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jc w:val="center"/>
              <w:ind w:left="109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20" w:type="dxa"/>
            <w:vAlign w:val="bottom"/>
            <w:gridSpan w:val="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180" w:type="dxa"/>
            <w:vAlign w:val="bottom"/>
          </w:tcPr>
          <w:p>
            <w:pPr>
              <w:jc w:val="center"/>
              <w:ind w:left="109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20" w:type="dxa"/>
            <w:vAlign w:val="bottom"/>
            <w:gridSpan w:val="6"/>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Schedule H, line 4i - Schedule of Assets (Held at End of Year) as of December 31, 2008</w:t>
              </w:r>
            </w:hyperlink>
          </w:p>
        </w:tc>
        <w:tc>
          <w:tcPr>
            <w:tcW w:w="2180" w:type="dxa"/>
            <w:vAlign w:val="bottom"/>
            <w:shd w:val="clear" w:color="auto" w:fill="CCEEFF"/>
          </w:tcPr>
          <w:p>
            <w:pPr>
              <w:jc w:val="center"/>
              <w:ind w:left="111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820"/>
        </w:trPr>
        <w:tc>
          <w:tcPr>
            <w:tcW w:w="20" w:type="dxa"/>
            <w:vAlign w:val="bottom"/>
          </w:tcPr>
          <w:p>
            <w:pPr>
              <w:spacing w:after="0"/>
              <w:rPr>
                <w:sz w:val="24"/>
                <w:szCs w:val="24"/>
                <w:color w:val="auto"/>
              </w:rPr>
            </w:pPr>
          </w:p>
        </w:tc>
        <w:tc>
          <w:tcPr>
            <w:tcW w:w="2140" w:type="dxa"/>
            <w:vAlign w:val="bottom"/>
            <w:tcBorders>
              <w:top w:val="single" w:sz="8" w:color="0000EE"/>
              <w:bottom w:val="single" w:sz="8" w:color="808080"/>
            </w:tcBorders>
          </w:tcPr>
          <w:p>
            <w:pPr>
              <w:spacing w:after="0"/>
              <w:rPr>
                <w:sz w:val="24"/>
                <w:szCs w:val="24"/>
                <w:color w:val="auto"/>
              </w:rPr>
            </w:pPr>
          </w:p>
        </w:tc>
        <w:tc>
          <w:tcPr>
            <w:tcW w:w="1280" w:type="dxa"/>
            <w:vAlign w:val="bottom"/>
            <w:tcBorders>
              <w:top w:val="single" w:sz="8" w:color="0000EE"/>
              <w:bottom w:val="single" w:sz="8" w:color="808080"/>
            </w:tcBorders>
          </w:tcPr>
          <w:p>
            <w:pPr>
              <w:spacing w:after="0"/>
              <w:rPr>
                <w:sz w:val="24"/>
                <w:szCs w:val="24"/>
                <w:color w:val="auto"/>
              </w:rPr>
            </w:pPr>
          </w:p>
        </w:tc>
        <w:tc>
          <w:tcPr>
            <w:tcW w:w="7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060" w:type="dxa"/>
            <w:vAlign w:val="bottom"/>
            <w:tcBorders>
              <w:top w:val="single" w:sz="8" w:color="0000EE"/>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c>
          <w:tcPr>
            <w:tcW w:w="218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Employee Stock Ownership Plan: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2008 and 2007,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2008 and 2007, and the changes in net assets available for benefits for the years then ended, in conformity with U.S. generally accepted accounting principles.</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audits were performed for the purpose of forming an opinion on the basic financial statements taken as a whole. The supplemental schedule of assets (held at end of the year) as of December 31, 2008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579120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580" w:top="999" w:right="7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20"/>
              <w:spacing w:after="0"/>
              <w:rPr>
                <w:sz w:val="20"/>
                <w:szCs w:val="20"/>
                <w:color w:val="auto"/>
              </w:rPr>
            </w:pPr>
            <w:r>
              <w:rPr>
                <w:rFonts w:ascii="Arial" w:cs="Arial" w:eastAsia="Arial" w:hAnsi="Arial"/>
                <w:sz w:val="18"/>
                <w:szCs w:val="18"/>
                <w:color w:val="auto"/>
              </w:rPr>
              <w:t>Investments at fair value:</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 the Toro Company Master Trust Fund</w:t>
            </w:r>
          </w:p>
        </w:tc>
        <w:tc>
          <w:tcPr>
            <w:tcW w:w="2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435,905,687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639,702,693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780"/>
              <w:spacing w:after="0"/>
              <w:rPr>
                <w:sz w:val="20"/>
                <w:szCs w:val="20"/>
                <w:color w:val="auto"/>
              </w:rPr>
            </w:pPr>
            <w:r>
              <w:rPr>
                <w:rFonts w:ascii="Arial" w:cs="Arial" w:eastAsia="Arial" w:hAnsi="Arial"/>
                <w:sz w:val="18"/>
                <w:szCs w:val="18"/>
                <w:color w:val="auto"/>
              </w:rPr>
              <w:t>Loans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investments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435,906,843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639,704,370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 receivable</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Employer contribution receivable</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13,119,869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12,614,806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assets available for benefits at fair value</w:t>
            </w:r>
          </w:p>
        </w:tc>
        <w:tc>
          <w:tcPr>
            <w:tcW w:w="2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449,064,589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652,367,766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Adjustment from fair value to contract value for</w:t>
            </w:r>
          </w:p>
        </w:tc>
        <w:tc>
          <w:tcPr>
            <w:tcW w:w="2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fully benefit-responsive investment contracts</w:t>
            </w:r>
          </w:p>
        </w:tc>
        <w:tc>
          <w:tcPr>
            <w:tcW w:w="2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2"/>
              </w:rPr>
              <w:t>5,140,753</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900"/>
              <w:spacing w:after="0"/>
              <w:rPr>
                <w:sz w:val="20"/>
                <w:szCs w:val="20"/>
                <w:color w:val="auto"/>
              </w:rPr>
            </w:pPr>
            <w:r>
              <w:rPr>
                <w:rFonts w:ascii="Arial" w:cs="Arial" w:eastAsia="Arial" w:hAnsi="Arial"/>
                <w:sz w:val="18"/>
                <w:szCs w:val="18"/>
                <w:color w:val="auto"/>
              </w:rPr>
              <w:t>Net assets available for benefits</w:t>
            </w:r>
          </w:p>
        </w:tc>
        <w:tc>
          <w:tcPr>
            <w:tcW w:w="2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454,205,342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652,618,940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2008 and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(Deductions) Additions to Net Assets: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Investment (loss) income: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Participant loan interest</w:t>
            </w:r>
          </w:p>
        </w:tc>
        <w:tc>
          <w:tcPr>
            <w:tcW w:w="3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Plan interest in net investment (loss) income of</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the Toro Company Master Trust Fund</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(197,420,588)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64,666,354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780"/>
              <w:spacing w:after="0"/>
              <w:rPr>
                <w:sz w:val="20"/>
                <w:szCs w:val="20"/>
                <w:color w:val="auto"/>
              </w:rPr>
            </w:pPr>
            <w:r>
              <w:rPr>
                <w:rFonts w:ascii="Arial" w:cs="Arial" w:eastAsia="Arial" w:hAnsi="Arial"/>
                <w:sz w:val="18"/>
                <w:szCs w:val="18"/>
                <w:color w:val="auto"/>
              </w:rPr>
              <w:t>Net investment (loss) income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(197,420,582)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64,668,842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Employer contributions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16,489,420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16,720,304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contributions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13,434,214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13,156,808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Rollover contributions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872,143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690,595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contributions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30,795,777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30,567,707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(deductions) additions to net assets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(166,624,805)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95,236,549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Administrative Fees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(30,455)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 payments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(33,596,849)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(49,493,955)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780"/>
              <w:spacing w:after="0"/>
              <w:rPr>
                <w:sz w:val="20"/>
                <w:szCs w:val="20"/>
                <w:color w:val="auto"/>
              </w:rPr>
            </w:pPr>
            <w:r>
              <w:rPr>
                <w:rFonts w:ascii="Arial" w:cs="Arial" w:eastAsia="Arial" w:hAnsi="Arial"/>
                <w:sz w:val="18"/>
                <w:szCs w:val="18"/>
                <w:color w:val="auto"/>
              </w:rPr>
              <w:t>Total deductions from net assets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(33,627,304)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(49,496,857)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Assets transferred to the Plan</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1,838,511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120"/>
              <w:spacing w:after="0"/>
              <w:rPr>
                <w:sz w:val="20"/>
                <w:szCs w:val="20"/>
                <w:color w:val="auto"/>
              </w:rPr>
            </w:pPr>
            <w:r>
              <w:rPr>
                <w:rFonts w:ascii="Arial" w:cs="Arial" w:eastAsia="Arial" w:hAnsi="Arial"/>
                <w:sz w:val="18"/>
                <w:szCs w:val="18"/>
                <w:color w:val="auto"/>
              </w:rPr>
              <w:t>Net (decrease) increase in net assets available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for benefits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(198,413,598)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45,739,692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Beginning of year</w:t>
            </w:r>
          </w:p>
        </w:tc>
        <w:tc>
          <w:tcPr>
            <w:tcW w:w="3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652,618,940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606,879,248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End of year</w:t>
            </w:r>
          </w:p>
        </w:tc>
        <w:tc>
          <w:tcPr>
            <w:tcW w:w="3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454,205,342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652,618,940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See accompanying notes to financial statements.</w:t>
            </w:r>
          </w:p>
        </w:tc>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760" w:type="dxa"/>
            <w:vAlign w:val="bottom"/>
          </w:tcPr>
          <w:p>
            <w:pPr>
              <w:jc w:val="right"/>
              <w:ind w:right="297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56"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following description of The Toro Company Investment, Savings, and Employee Stock Ownership Plan (the Plan) is provided for general information purposes only. Participants should refer to the Plan document restated as of January 1, 2006 for more complete information. The Plan is subject to the provisions of the Employee Retirement Income Security Act of 1974 (ERISA). Effective January 1, 2002, The Toro Company Employee Stock Ownership Plan was merged into The Toro Company Investment and Savings Plan to become The Toro Company Investment, Savings, and Employee Stock Ownership Plan. However, there continues to be an Employee Stock Ownership (ESOP) portion and a profit sharing portion of the Plan. Effective September 2, 2003, the Exmark Manufacturing Company, Inc. 401(k) Profit Sharing Plan was merged into the Plan. The Exmark Manufacturing Company, Inc. 401(k) Profit Sharing Plan offered loans to participants. Since loans are not offered under the Plan, outstanding loan balances were transferred as a result of the merger into the Plan and continue to be repaid by participants. Effective April 4, 2008, the Rain Master Irrigation Systems Inc, 410(k) Profit Sharing Plan was merged into the Plan.</w:t>
      </w:r>
    </w:p>
    <w:p>
      <w:pPr>
        <w:spacing w:after="0" w:line="208"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primary purpose of the ESOP portion of the Plan is to provide employees who become participants in the Plan an opportunity to have their account balances invested in Common Stock of The Toro Company (the Company). The portions of participant accounts that hold Toro Company Common Stock are included in the ESOP portion of the Plan. The portions of participant accounts that do not hold such stock are included in the profit sharing portion of the Plan.</w:t>
      </w:r>
    </w:p>
    <w:p>
      <w:pPr>
        <w:spacing w:after="0" w:line="21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Participants may make their own contributions to the Plan. These are initially made to the profit sharing portion of the Plan.</w:t>
      </w:r>
    </w:p>
    <w:p>
      <w:pPr>
        <w:spacing w:after="0" w:line="252" w:lineRule="exact"/>
        <w:rPr>
          <w:rFonts w:ascii="Arial" w:cs="Arial" w:eastAsia="Arial" w:hAnsi="Arial"/>
          <w:sz w:val="18"/>
          <w:szCs w:val="18"/>
          <w:b w:val="1"/>
          <w:bCs w:val="1"/>
          <w:color w:val="auto"/>
        </w:rPr>
      </w:pPr>
    </w:p>
    <w:p>
      <w:pPr>
        <w:jc w:val="both"/>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Plan participants are also eligible to have the Company make ESOP and Investment Fund Contributions to the Plan on their behalf after two years of qualifying service with the Company. Participants are fully vested in the entire balance of their individual accounts attributable to those contributions. The Company also makes matching contributions to the Plan with respect to Participant contributions. Participants are eligible for matching contributions after completing one year of qualifying service with the Company. Company matching contributions, together with income attributable thereto, vest at a rate of 20% after one year of vesting service, with an additional 20% being accumulated annually thereafter until the participant is 100% vested. ESOP Contributions and Matching Contributions are initially invested in Company Common Stock.</w:t>
      </w:r>
    </w:p>
    <w:p>
      <w:pPr>
        <w:spacing w:after="0" w:line="19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Participants may choose to have their accounts including those initially invested in Company Common Stock invested in any of the investment funds made available under the Plan or in Company Common Stock. All contributions under the Plan are made to a trust that holds all of the assets of the Plan.</w:t>
      </w:r>
    </w:p>
    <w:p>
      <w:pPr>
        <w:spacing w:after="0" w:line="208"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Participant may receive distributions from their vested accounts under the Plan upon termination of employment, retirement,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common shares, a withdrawal or distribution can be in the form of common shares or cash.</w:t>
      </w:r>
    </w:p>
    <w:p>
      <w:pPr>
        <w:spacing w:after="0" w:line="252"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Effective November 5, 2007, a new trustee (Fidelity) was appointed to the Plan. Plan assets transferred to the new trustee were transferred into funds comparable to those offered by the former trustee (J.P. Morgan Retirement Plan Services). The conversion initiated a “Black Out” period beginning October 20, 2007 and continued through November 4, 2007. Prior to this period, employees were notified and able to select funds with the new trustee. During the Black Out period, fund elections could not be changed or withdrawn from the Plan until the new trustee had time to accurately complete the conversion. Employee contributions continued to be made through payroll deductions, and contributions were deposited directly into the participant accounts based on their elections until the completion of the Black Out period.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Benefit payments and transfers of participants’ interests are made by the trustee.</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During the year ended December 31, 2008 and 2007, forfeited nonvested accounts totaled $113,329 and $36,383, respectively. These amounts are used to offset future employer contributions.</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absorbs all administrative costs of the Plan, with the exception of investment management fees, which are netted against investment income.</w:t>
      </w:r>
    </w:p>
    <w:p>
      <w:pPr>
        <w:spacing w:after="0" w:line="19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rFonts w:ascii="Arial" w:cs="Arial" w:eastAsia="Arial" w:hAnsi="Arial"/>
          <w:sz w:val="18"/>
          <w:szCs w:val="18"/>
          <w:b w:val="1"/>
          <w:bCs w:val="1"/>
          <w:color w:val="auto"/>
        </w:rPr>
      </w:pPr>
    </w:p>
    <w:p>
      <w:pPr>
        <w:ind w:left="840" w:hanging="251"/>
        <w:spacing w:after="0"/>
        <w:tabs>
          <w:tab w:leader="none" w:pos="84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52" w:lineRule="exact"/>
        <w:rPr>
          <w:sz w:val="20"/>
          <w:szCs w:val="20"/>
          <w:color w:val="auto"/>
        </w:rPr>
      </w:pPr>
    </w:p>
    <w:p>
      <w:pPr>
        <w:jc w:val="both"/>
        <w:ind w:left="980" w:right="20"/>
        <w:spacing w:after="0" w:line="308" w:lineRule="auto"/>
        <w:rPr>
          <w:sz w:val="20"/>
          <w:szCs w:val="20"/>
          <w:color w:val="auto"/>
        </w:rPr>
      </w:pPr>
      <w:r>
        <w:rPr>
          <w:rFonts w:ascii="Arial" w:cs="Arial" w:eastAsia="Arial" w:hAnsi="Arial"/>
          <w:sz w:val="17"/>
          <w:szCs w:val="17"/>
          <w:color w:val="auto"/>
        </w:rPr>
        <w:t>The accompanying financial statements of The Toro Company Investment, Savings, and Employee Stock Ownership Plan are presented in accordance with U.S generally accepted accounting principles. The accounting records of the Plan are maintained on the accrual basis.</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(b) Investments</w:t>
      </w:r>
    </w:p>
    <w:p>
      <w:pPr>
        <w:spacing w:after="0" w:line="252" w:lineRule="exact"/>
        <w:rPr>
          <w:sz w:val="20"/>
          <w:szCs w:val="20"/>
          <w:color w:val="auto"/>
        </w:rPr>
      </w:pPr>
    </w:p>
    <w:p>
      <w:pPr>
        <w:jc w:val="both"/>
        <w:ind w:left="980"/>
        <w:spacing w:after="0" w:line="297" w:lineRule="auto"/>
        <w:rPr>
          <w:sz w:val="20"/>
          <w:szCs w:val="20"/>
          <w:color w:val="auto"/>
        </w:rPr>
      </w:pPr>
      <w:r>
        <w:rPr>
          <w:rFonts w:ascii="Arial" w:cs="Arial" w:eastAsia="Arial" w:hAnsi="Arial"/>
          <w:sz w:val="16"/>
          <w:szCs w:val="16"/>
          <w:color w:val="auto"/>
        </w:rPr>
        <w:t>The Plan’s investments are in a Master Trust held by Fidelity.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85"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The Company maintains one Master Trust for three profit sharing and retirement plans that are sponsored by the Company. The three plans are the Plan, The Toro Company Profit Sharing Plan for Plymouth Union Employees and the Hahn Equipment Company Savings Plan for Union Employees. The purpose of the Master Trust is to pool investment transactions and achieve uniform rates of return on comparable funds under all plans. The Master Trust invests in fully benefit-responsive investment contracts stated at fair value and then adjusted to contract value. Fair value of the contracts is calculated by discounting the related cash flows based on current yields of similar instruments with comparable durations.</w:t>
      </w:r>
    </w:p>
    <w:p>
      <w:pPr>
        <w:spacing w:after="0" w:line="220"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Plan’s proportionate share of net investment income from the Master Trust is based upon the percentage of the fair value of the Plan’s investment in the Master Trust’s net assets. The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ind w:right="33"/>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ind w:right="33"/>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95" w:lineRule="exact"/>
        <w:rPr>
          <w:sz w:val="20"/>
          <w:szCs w:val="20"/>
          <w:color w:val="auto"/>
        </w:rPr>
      </w:pPr>
    </w:p>
    <w:p>
      <w:pPr>
        <w:ind w:left="927"/>
        <w:spacing w:after="0"/>
        <w:rPr>
          <w:sz w:val="20"/>
          <w:szCs w:val="20"/>
          <w:color w:val="auto"/>
        </w:rPr>
      </w:pPr>
      <w:r>
        <w:rPr>
          <w:rFonts w:ascii="Arial" w:cs="Arial" w:eastAsia="Arial" w:hAnsi="Arial"/>
          <w:sz w:val="18"/>
          <w:szCs w:val="18"/>
          <w:color w:val="auto"/>
        </w:rPr>
        <w:t>Plan’s percentage interest in the net assets of the Master Trust was approximately 99% as of December 31, 2008 and 2007.</w:t>
      </w:r>
    </w:p>
    <w:p>
      <w:pPr>
        <w:spacing w:after="0" w:line="252" w:lineRule="exact"/>
        <w:rPr>
          <w:sz w:val="20"/>
          <w:szCs w:val="20"/>
          <w:color w:val="auto"/>
        </w:rPr>
      </w:pPr>
    </w:p>
    <w:p>
      <w:pPr>
        <w:ind w:left="547"/>
        <w:spacing w:after="0"/>
        <w:rPr>
          <w:sz w:val="20"/>
          <w:szCs w:val="20"/>
          <w:color w:val="auto"/>
        </w:rPr>
      </w:pPr>
      <w:r>
        <w:rPr>
          <w:rFonts w:ascii="Arial" w:cs="Arial" w:eastAsia="Arial" w:hAnsi="Arial"/>
          <w:sz w:val="18"/>
          <w:szCs w:val="18"/>
          <w:b w:val="1"/>
          <w:bCs w:val="1"/>
          <w:i w:val="1"/>
          <w:iCs w:val="1"/>
          <w:color w:val="auto"/>
        </w:rPr>
        <w:t>(c) Accounting Estimates</w:t>
      </w:r>
    </w:p>
    <w:p>
      <w:pPr>
        <w:spacing w:after="0" w:line="252" w:lineRule="exact"/>
        <w:rPr>
          <w:sz w:val="20"/>
          <w:szCs w:val="20"/>
          <w:color w:val="auto"/>
        </w:rPr>
      </w:pPr>
    </w:p>
    <w:p>
      <w:pPr>
        <w:jc w:val="both"/>
        <w:ind w:left="927"/>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the Plan Administrator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214" w:lineRule="exact"/>
        <w:rPr>
          <w:sz w:val="20"/>
          <w:szCs w:val="20"/>
          <w:color w:val="auto"/>
        </w:rPr>
      </w:pPr>
    </w:p>
    <w:p>
      <w:pPr>
        <w:ind w:left="547"/>
        <w:spacing w:after="0"/>
        <w:rPr>
          <w:sz w:val="20"/>
          <w:szCs w:val="20"/>
          <w:color w:val="auto"/>
        </w:rPr>
      </w:pPr>
      <w:r>
        <w:rPr>
          <w:rFonts w:ascii="Arial" w:cs="Arial" w:eastAsia="Arial" w:hAnsi="Arial"/>
          <w:sz w:val="18"/>
          <w:szCs w:val="18"/>
          <w:b w:val="1"/>
          <w:bCs w:val="1"/>
          <w:i w:val="1"/>
          <w:iCs w:val="1"/>
          <w:color w:val="auto"/>
        </w:rPr>
        <w:t>(d) Concentrations of Risk</w:t>
      </w:r>
    </w:p>
    <w:p>
      <w:pPr>
        <w:spacing w:after="0" w:line="252" w:lineRule="exact"/>
        <w:rPr>
          <w:sz w:val="20"/>
          <w:szCs w:val="20"/>
          <w:color w:val="auto"/>
        </w:rPr>
      </w:pPr>
    </w:p>
    <w:p>
      <w:pPr>
        <w:jc w:val="both"/>
        <w:ind w:left="927"/>
        <w:spacing w:after="0" w:line="259"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Statements of Net Assets Available for Benefits.</w:t>
      </w:r>
    </w:p>
    <w:p>
      <w:pPr>
        <w:spacing w:after="0" w:line="214" w:lineRule="exact"/>
        <w:rPr>
          <w:sz w:val="20"/>
          <w:szCs w:val="20"/>
          <w:color w:val="auto"/>
        </w:rPr>
      </w:pPr>
    </w:p>
    <w:p>
      <w:pPr>
        <w:jc w:val="both"/>
        <w:ind w:left="927"/>
        <w:spacing w:after="0" w:line="312" w:lineRule="auto"/>
        <w:rPr>
          <w:sz w:val="20"/>
          <w:szCs w:val="20"/>
          <w:color w:val="auto"/>
        </w:rPr>
      </w:pPr>
      <w:r>
        <w:rPr>
          <w:rFonts w:ascii="Arial" w:cs="Arial" w:eastAsia="Arial" w:hAnsi="Arial"/>
          <w:sz w:val="16"/>
          <w:szCs w:val="16"/>
          <w:color w:val="auto"/>
        </w:rPr>
        <w:t>The assets held by the Master Trust include The Toro Company Common Stock. At December 31, 2008 and 2007, approximately 30% and 34% of the investments of the Master Trust were invested in common stock of the Company. The underlying value of the Company’s common stock is entirely dependent upon the performance of the Company and the market’s evaluation of such performance and other factors.</w:t>
      </w:r>
    </w:p>
    <w:p>
      <w:pPr>
        <w:spacing w:after="0" w:line="174" w:lineRule="exact"/>
        <w:rPr>
          <w:sz w:val="20"/>
          <w:szCs w:val="20"/>
          <w:color w:val="auto"/>
        </w:rPr>
      </w:pPr>
    </w:p>
    <w:p>
      <w:pPr>
        <w:ind w:left="487"/>
        <w:spacing w:after="0"/>
        <w:rPr>
          <w:sz w:val="20"/>
          <w:szCs w:val="20"/>
          <w:color w:val="auto"/>
        </w:rPr>
      </w:pPr>
      <w:r>
        <w:rPr>
          <w:rFonts w:ascii="Arial" w:cs="Arial" w:eastAsia="Arial" w:hAnsi="Arial"/>
          <w:sz w:val="18"/>
          <w:szCs w:val="18"/>
          <w:b w:val="1"/>
          <w:bCs w:val="1"/>
          <w:i w:val="1"/>
          <w:iCs w:val="1"/>
          <w:color w:val="auto"/>
        </w:rPr>
        <w:t>(e) Fully Benefit-Responsive Investment Contracts</w:t>
      </w:r>
    </w:p>
    <w:p>
      <w:pPr>
        <w:spacing w:after="0" w:line="252" w:lineRule="exact"/>
        <w:rPr>
          <w:sz w:val="20"/>
          <w:szCs w:val="20"/>
          <w:color w:val="auto"/>
        </w:rPr>
      </w:pPr>
    </w:p>
    <w:p>
      <w:pPr>
        <w:jc w:val="both"/>
        <w:ind w:left="927"/>
        <w:spacing w:after="0" w:line="255" w:lineRule="auto"/>
        <w:rPr>
          <w:sz w:val="20"/>
          <w:szCs w:val="20"/>
          <w:color w:val="auto"/>
        </w:rPr>
      </w:pPr>
      <w:r>
        <w:rPr>
          <w:rFonts w:ascii="Arial" w:cs="Arial" w:eastAsia="Arial" w:hAnsi="Arial"/>
          <w:sz w:val="18"/>
          <w:szCs w:val="18"/>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 of Changes in Net Assets Available for Benefits is prepared on a contract value basis.</w:t>
      </w:r>
    </w:p>
    <w:p>
      <w:pPr>
        <w:spacing w:after="0" w:line="216" w:lineRule="exact"/>
        <w:rPr>
          <w:sz w:val="20"/>
          <w:szCs w:val="20"/>
          <w:color w:val="auto"/>
        </w:rPr>
      </w:pPr>
    </w:p>
    <w:p>
      <w:pPr>
        <w:ind w:left="607" w:hanging="607"/>
        <w:spacing w:after="0"/>
        <w:tabs>
          <w:tab w:leader="none" w:pos="60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Funding Policy, Contributions, and Plan Transfers</w:t>
      </w:r>
    </w:p>
    <w:p>
      <w:pPr>
        <w:spacing w:after="0" w:line="256" w:lineRule="exact"/>
        <w:rPr>
          <w:rFonts w:ascii="Arial" w:cs="Arial" w:eastAsia="Arial" w:hAnsi="Arial"/>
          <w:sz w:val="18"/>
          <w:szCs w:val="18"/>
          <w:b w:val="1"/>
          <w:bCs w:val="1"/>
          <w:color w:val="auto"/>
        </w:rPr>
      </w:pPr>
    </w:p>
    <w:p>
      <w:pPr>
        <w:jc w:val="both"/>
        <w:ind w:left="607"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ESOP portion of the Plan, the funding policy is to make annual contributions pursuant to a formula and to make matching contributions. The formula contribution is made by the Company and equals 1.5% of total participant compensation earned during the plan year. The formula contribution is allocated to participants based on the participants’ compensation earned during the plan year as a percentage of total plan year compensation.</w:t>
      </w:r>
    </w:p>
    <w:p>
      <w:pPr>
        <w:spacing w:after="0" w:line="213" w:lineRule="exact"/>
        <w:rPr>
          <w:rFonts w:ascii="Arial" w:cs="Arial" w:eastAsia="Arial" w:hAnsi="Arial"/>
          <w:sz w:val="18"/>
          <w:szCs w:val="18"/>
          <w:b w:val="1"/>
          <w:bCs w:val="1"/>
          <w:color w:val="auto"/>
        </w:rPr>
      </w:pPr>
    </w:p>
    <w:p>
      <w:pPr>
        <w:jc w:val="both"/>
        <w:ind w:left="60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profit sharing portion of the Plan, the funding policy is to make annual investment fund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Investment income is allocated based on participants’ account balances.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7"/>
          </w:cols>
          <w:pgMar w:left="293" w:top="75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9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Participant contributions are made to the profit sharing portion of the Plan. They consist of salary reduction elections under a 401(k) feature, voluntary after-tax contributions, and rollover funds from other qualified plans. The Company is required to make a matching contribution into the ESOP portion of the plan equal to 50% of the participants’ contributions to the Plan not to exceed 2% of the participants’ total compensation. That contribution is invested in Company Common Stock.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Transfers to/from other funds represent participant elected rollovers to/from plans of other employers or other transfers to/from other plans.</w:t>
      </w:r>
    </w:p>
    <w:p>
      <w:pPr>
        <w:spacing w:after="0" w:line="26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56"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Fidelity (trustee of the Plan effective November 5, 2007) and J.P. Morgan Retirement Plan Services (former trustee of the Plan) and The Toro Company are parties-in-interest with respect to the Plan. The Plan’s investments are held by Fidelity (trustee of the Plan effective November 5, 2007) and JP Morgan Retirement Plan Services (former trustee of the Plan). Some of the investment funds available to participants also include mutual funds managed by Fidelity from November 5, 2007 through December 31, 2008 and JP Morgan from January 1, 2007 through November 4, 2007. In the opinion of the Plan’s legal counsel, transactions between the Plan and the trustees are exempt from being considered as “prohibited transactions” under the ERISA Section 408(b).</w:t>
      </w:r>
    </w:p>
    <w:p>
      <w:pPr>
        <w:spacing w:after="0" w:line="216" w:lineRule="exact"/>
        <w:rPr>
          <w:rFonts w:ascii="Arial" w:cs="Arial" w:eastAsia="Arial" w:hAnsi="Arial"/>
          <w:sz w:val="18"/>
          <w:szCs w:val="18"/>
          <w:b w:val="1"/>
          <w:bCs w:val="1"/>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56"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88" w:lineRule="exact"/>
        <w:rPr>
          <w:rFonts w:ascii="Arial" w:cs="Arial" w:eastAsia="Arial" w:hAnsi="Arial"/>
          <w:sz w:val="18"/>
          <w:szCs w:val="18"/>
          <w:b w:val="1"/>
          <w:bCs w:val="1"/>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56"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w w:val="91"/>
              </w:rPr>
              <w:t>Net investment income for the Master Trust for the years-ended December 31, 2008 and 2007 was as follows: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(depreciation) appreciation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in fair value of investments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(212,167,157)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44,948,064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and unrealized (depreciation) appreciation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(212,167,157)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44,948,064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238,302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8,509,596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20,935,009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investment (loss) income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(203,419,259)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65,906,379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FASB Statement No. 157 “Fair Value Measurements” (SFAS No. 157) establishes a framework for measuring fair value and expands required disclosures about fair value measurements of assets and liabilities. The Plan adopted the standard as of January 1, 2008, and there was no financial statement impact resulting from the adoption.</w:t>
      </w:r>
    </w:p>
    <w:p>
      <w:pPr>
        <w:spacing w:after="0" w:line="208" w:lineRule="exact"/>
        <w:rPr>
          <w:sz w:val="20"/>
          <w:szCs w:val="20"/>
          <w:color w:val="auto"/>
        </w:rPr>
      </w:pPr>
    </w:p>
    <w:p>
      <w:pPr>
        <w:jc w:val="both"/>
        <w:ind w:left="660" w:right="160"/>
        <w:spacing w:after="0" w:line="279" w:lineRule="auto"/>
        <w:rPr>
          <w:sz w:val="20"/>
          <w:szCs w:val="20"/>
          <w:color w:val="auto"/>
        </w:rPr>
      </w:pPr>
      <w:r>
        <w:rPr>
          <w:rFonts w:ascii="Arial" w:cs="Arial" w:eastAsia="Arial" w:hAnsi="Arial"/>
          <w:sz w:val="17"/>
          <w:szCs w:val="17"/>
          <w:color w:val="auto"/>
        </w:rPr>
        <w:t>SFAS No. 157 defines fair value as the exchange price that would be received for an asset or paid to transfer a liability (an exit price) in the principal or most advantageous market for the asset or liability in an orderly transaction between market participants on the measurement date. SFAS No. 157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52" w:lineRule="exact"/>
        <w:rPr>
          <w:sz w:val="20"/>
          <w:szCs w:val="20"/>
          <w:color w:val="auto"/>
        </w:rPr>
      </w:pPr>
    </w:p>
    <w:p>
      <w:pPr>
        <w:jc w:val="both"/>
        <w:ind w:left="980" w:right="160"/>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8" w:lineRule="exact"/>
        <w:rPr>
          <w:sz w:val="20"/>
          <w:szCs w:val="20"/>
          <w:color w:val="auto"/>
        </w:rPr>
      </w:pPr>
    </w:p>
    <w:p>
      <w:pPr>
        <w:jc w:val="both"/>
        <w:ind w:left="980" w:right="16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97"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Master Trust’s investments in stocks and mutual funds are classified as Level 1 assets in the fair value hierarchy, while the Master Trust’s investments in common collective trusts are classified as Level 2 assets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as of December 31, 2008, are summarized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130,120,605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130,120,605</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150,320,458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150,320,458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157,653,795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157,653,795</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280,441,063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157,653,795</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438,094,858</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values of Master Trust investments at December 31, 2008 and 2007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Collective Trusts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Wells Fargo Stable Return E</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92,054,997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83,706,503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Barclays Global Investors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12,334,903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9,472,865</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Registered Investment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Artisan Mid Cap Fund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5,405,877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9,961,602</w:t>
            </w: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JP Morgan MidCap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8,545,146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12,271,931</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Fidelity Diversified International Fund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28,339,242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55,049,741</w:t>
            </w: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Growth Fund of America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41,181,028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69,498,831</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ICM Small Company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16,490,806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27,574,964</w:t>
            </w: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Vanguard Institutional Index</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11,669,037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18,891,792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American Century Large Company Value Fund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35,190,860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61,240,057</w:t>
            </w: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Alger Small Cap</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3,498,462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7,952,213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The Toro Company 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130,120,605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217,508,364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Pooled Funds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Pyramis Index Lifecycle 2000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955,107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1,815,105</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Pyramis Index Lifecycle 2005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1,356,696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2,022,179</w:t>
            </w: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Pyramis Index Lifecycle 2010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4,624,984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6,973,780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Pyramis Index Lifecycle 2015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10,710,561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13,034,933</w:t>
            </w: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Pyramis Index Lifecycle 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11,222,486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14,673,475</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Pyramis Index Lifecycle 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11,151,070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14,766,645</w:t>
            </w: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Pyramis Index Lifecycle 2030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5,998,193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7,849,222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Pyramis Index Lifecycle 2035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3,547,850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4,809,707</w:t>
            </w: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Pyramis Index Lifecycle 2040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1,948,331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2,263,024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Pyramis Index Lifecycle 2045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1,297,464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1,469,009</w:t>
            </w: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Pyramis Index Lifecycle 2050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451,153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300,602</w:t>
            </w: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Total investments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438,094,858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643,106,544</w:t>
            </w: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investments in the Master Trust as of December 31, 2008 and 2007 that represent 5% or more of the Master Trust’s net assets: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Return E</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92,054,997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83,706,503</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Fidelity Diversified International Fund</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28,339,242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55,049,741</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41,181,028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69,498,831</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American Century Large Company Value Fund</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35,190,860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61,240,057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130,120,605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217,508,364</w:t>
            </w:r>
          </w:p>
        </w:tc>
      </w:tr>
    </w:tbl>
    <w:p>
      <w:pPr>
        <w:spacing w:after="0" w:line="200" w:lineRule="exact"/>
        <w:rPr>
          <w:sz w:val="20"/>
          <w:szCs w:val="20"/>
          <w:color w:val="auto"/>
        </w:rPr>
      </w:pPr>
    </w:p>
    <w:p>
      <w:pPr>
        <w:spacing w:after="0" w:line="268"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Plan Administrator has received a determination letter from the Internal Revenue Service, dated October 23, 2002, stating that the Plan is qualified under Section 401(a) of the Internal Revenue Code (the Code), and that the trust created under the Plan is exempt from federal income taxes under Section 501(a) of the Code. The Plan has been amended since the date of this letter, and an updated tax determination letter was received on February 19, 2008. Therefore, no provision for income taxes has been included in the Plan’s financial statements.</w:t>
      </w:r>
    </w:p>
    <w:p>
      <w:pPr>
        <w:spacing w:after="0" w:line="19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454,205,342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fully benefit-responsive investment contracts at December 31, 2008</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(5,140,753)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assets available for benefits as presented on Form 5500</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449,064,589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as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00"/>
              <w:spacing w:after="0"/>
              <w:rPr>
                <w:sz w:val="20"/>
                <w:szCs w:val="20"/>
                <w:color w:val="auto"/>
              </w:rPr>
            </w:pPr>
            <w:r>
              <w:rPr>
                <w:rFonts w:ascii="Arial" w:cs="Arial" w:eastAsia="Arial" w:hAnsi="Arial"/>
                <w:sz w:val="18"/>
                <w:szCs w:val="18"/>
                <w:color w:val="auto"/>
              </w:rPr>
              <w:t>presented in these financial statements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(198,413,598)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31,2008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 2007</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as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00"/>
              <w:spacing w:after="0"/>
              <w:rPr>
                <w:sz w:val="20"/>
                <w:szCs w:val="20"/>
                <w:color w:val="auto"/>
              </w:rPr>
            </w:pPr>
            <w:r>
              <w:rPr>
                <w:rFonts w:ascii="Arial" w:cs="Arial" w:eastAsia="Arial" w:hAnsi="Arial"/>
                <w:sz w:val="18"/>
                <w:szCs w:val="18"/>
                <w:color w:val="auto"/>
              </w:rPr>
              <w:t>presented on Form 5500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(203,303,177)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652,618,940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fully benefit-responsive investment contracts at December 31, 2007</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(251,174)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assets available for benefits as presented on Form 5500</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652,367,766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00"/>
              <w:spacing w:after="0"/>
              <w:rPr>
                <w:sz w:val="20"/>
                <w:szCs w:val="20"/>
                <w:color w:val="auto"/>
              </w:rPr>
            </w:pPr>
            <w:r>
              <w:rPr>
                <w:rFonts w:ascii="Arial" w:cs="Arial" w:eastAsia="Arial" w:hAnsi="Arial"/>
                <w:sz w:val="18"/>
                <w:szCs w:val="18"/>
                <w:color w:val="auto"/>
              </w:rPr>
              <w:t>presented in these financial statements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45,739,692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31,2007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 2006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Adjustment for employer contribution receivable at December 31, 2006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 for employee contribution receivable at December 31, 2006</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00"/>
              <w:spacing w:after="0"/>
              <w:rPr>
                <w:sz w:val="20"/>
                <w:szCs w:val="20"/>
                <w:color w:val="auto"/>
              </w:rPr>
            </w:pPr>
            <w:r>
              <w:rPr>
                <w:rFonts w:ascii="Arial" w:cs="Arial" w:eastAsia="Arial" w:hAnsi="Arial"/>
                <w:sz w:val="18"/>
                <w:szCs w:val="18"/>
                <w:color w:val="auto"/>
              </w:rPr>
              <w:t>presented on Form 5500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the 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Current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ind w:left="388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52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Cost</w:t>
            </w: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*Participant Loans</w:t>
            </w:r>
          </w:p>
        </w:tc>
        <w:tc>
          <w:tcPr>
            <w:tcW w:w="120" w:type="dxa"/>
            <w:vAlign w:val="bottom"/>
          </w:tcPr>
          <w:p>
            <w:pPr>
              <w:spacing w:after="0"/>
              <w:rPr>
                <w:sz w:val="18"/>
                <w:szCs w:val="18"/>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investments</w:t>
            </w:r>
          </w:p>
        </w:tc>
        <w:tc>
          <w:tcPr>
            <w:tcW w:w="1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*Party-in-interest as defined by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The Toro Company Investment, Savings, and</w:t>
            </w:r>
          </w:p>
        </w:tc>
      </w:tr>
      <w:tr>
        <w:trPr>
          <w:trHeight w:val="230"/>
        </w:trPr>
        <w:tc>
          <w:tcPr>
            <w:tcW w:w="3560" w:type="dxa"/>
            <w:vAlign w:val="bottom"/>
          </w:tcPr>
          <w:p>
            <w:pPr>
              <w:spacing w:after="0"/>
              <w:rPr>
                <w:sz w:val="20"/>
                <w:szCs w:val="20"/>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Employee Stock Ownership Plan</w:t>
            </w:r>
          </w:p>
        </w:tc>
      </w:tr>
      <w:tr>
        <w:trPr>
          <w:trHeight w:val="392"/>
        </w:trPr>
        <w:tc>
          <w:tcPr>
            <w:tcW w:w="3560" w:type="dxa"/>
            <w:vAlign w:val="bottom"/>
          </w:tcPr>
          <w:p>
            <w:pPr>
              <w:spacing w:after="0"/>
              <w:rPr>
                <w:sz w:val="20"/>
                <w:szCs w:val="20"/>
                <w:color w:val="auto"/>
              </w:rPr>
            </w:pPr>
            <w:r>
              <w:rPr>
                <w:rFonts w:ascii="Arial" w:cs="Arial" w:eastAsia="Arial" w:hAnsi="Arial"/>
                <w:sz w:val="18"/>
                <w:szCs w:val="18"/>
                <w:color w:val="auto"/>
              </w:rPr>
              <w:t>Date: June 26, 2009</w:t>
            </w: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By /s/ Stephen P. Wolfe</w:t>
            </w:r>
          </w:p>
        </w:tc>
      </w:tr>
      <w:tr>
        <w:trPr>
          <w:trHeight w:val="20"/>
        </w:trPr>
        <w:tc>
          <w:tcPr>
            <w:tcW w:w="3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22"/>
        </w:trPr>
        <w:tc>
          <w:tcPr>
            <w:tcW w:w="3560" w:type="dxa"/>
            <w:vAlign w:val="bottom"/>
          </w:tcPr>
          <w:p>
            <w:pPr>
              <w:spacing w:after="0"/>
              <w:rPr>
                <w:sz w:val="19"/>
                <w:szCs w:val="19"/>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Stephen P. Wolfe</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Vice President Finance</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3560" w:type="dxa"/>
            <w:vAlign w:val="bottom"/>
          </w:tcPr>
          <w:p>
            <w:pPr>
              <w:spacing w:after="0"/>
              <w:rPr>
                <w:sz w:val="20"/>
                <w:szCs w:val="20"/>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of The Toro Company</w:t>
            </w:r>
          </w:p>
        </w:tc>
      </w:tr>
      <w:tr>
        <w:trPr>
          <w:trHeight w:val="1334"/>
        </w:trPr>
        <w:tc>
          <w:tcPr>
            <w:tcW w:w="356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94"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consent to incorporation by reference in the Registration Statement (No. 333-119504) on Form S-8 of The Toro Company, of our report dated June 26, 2009, relating to the statements of net assets available for benefits of The Toro Company Investment, Savings, and Employee Stock Ownership Plan as of December 31, 2008 and 2007, the related statements of changes in net assets available for benefits for the years then ended, and the supplemental schedule of Schedule H, line 4i – schedule of assets (held at end of year) as of December 31, 2008, which report appears in the December 31, 2008 annual report on Form 11-K of The Toro Company Investment, Savings, and Employee Stock Ownership Plan.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lvl w:ilvl="1">
      <w:lvlJc w:val="left"/>
      <w:lvlText w:val="(%2)"/>
      <w:numFmt w:val="lowerLetter"/>
      <w:start w:val="1"/>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2019-12-10T05:54:44Z</dcterms:created>
  <dcterms:modified xsi:type="dcterms:W3CDTF">2019-12-10T05:54:44Z</dcterms:modified>
</cp:coreProperties>
</file>