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Altmaier Judy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 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12/08/2010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03"/>
        <w:spacing w:after="0"/>
        <w:rPr>
          <w:sz w:val="20"/>
          <w:szCs w:val="20"/>
          <w:color w:val="auto"/>
        </w:rPr>
      </w:pPr>
      <w:r>
        <w:rPr>
          <w:rFonts w:ascii="Arial" w:cs="Arial" w:eastAsia="Arial" w:hAnsi="Arial"/>
          <w:sz w:val="18"/>
          <w:szCs w:val="18"/>
          <w:color w:val="0000FF"/>
        </w:rPr>
        <w:t>VP, Operations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300"/>
              <w:spacing w:after="0"/>
              <w:rPr>
                <w:sz w:val="20"/>
                <w:szCs w:val="20"/>
                <w:color w:val="auto"/>
              </w:rPr>
            </w:pPr>
            <w:r>
              <w:rPr>
                <w:rFonts w:ascii="Arial" w:cs="Arial" w:eastAsia="Arial" w:hAnsi="Arial"/>
                <w:sz w:val="18"/>
                <w:szCs w:val="18"/>
                <w:color w:val="0000FF"/>
              </w:rPr>
              <w:t>4,820.278</w:t>
            </w:r>
            <w:r>
              <w:rPr>
                <w:rFonts w:ascii="Arial" w:cs="Arial" w:eastAsia="Arial" w:hAnsi="Arial"/>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63.52</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12/08/2010</w:t>
            </w:r>
          </w:p>
        </w:tc>
        <w:tc>
          <w:tcPr>
            <w:tcW w:w="1140" w:type="dxa"/>
            <w:vAlign w:val="bottom"/>
          </w:tcPr>
          <w:p>
            <w:pPr>
              <w:spacing w:after="0"/>
              <w:rPr>
                <w:sz w:val="16"/>
                <w:szCs w:val="16"/>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rPr>
                <w:sz w:val="20"/>
                <w:szCs w:val="20"/>
                <w:color w:val="auto"/>
              </w:rPr>
            </w:pPr>
            <w:r>
              <w:rPr>
                <w:rFonts w:ascii="Arial" w:cs="Arial" w:eastAsia="Arial" w:hAnsi="Arial"/>
                <w:sz w:val="14"/>
                <w:szCs w:val="14"/>
                <w:color w:val="0000FF"/>
              </w:rPr>
              <w:t>6,100</w:t>
            </w:r>
          </w:p>
        </w:tc>
        <w:tc>
          <w:tcPr>
            <w:tcW w:w="34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color w:val="0000FF"/>
                <w:w w:val="96"/>
              </w:rPr>
              <w:t>12/08/2020</w:t>
            </w: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6,100</w:t>
            </w:r>
          </w:p>
        </w:tc>
        <w:tc>
          <w:tcPr>
            <w:tcW w:w="40" w:type="dxa"/>
            <w:vAlign w:val="bottom"/>
          </w:tcPr>
          <w:p>
            <w:pPr>
              <w:spacing w:after="0"/>
              <w:rPr>
                <w:sz w:val="16"/>
                <w:szCs w:val="16"/>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80"/>
              <w:spacing w:after="0"/>
              <w:rPr>
                <w:sz w:val="20"/>
                <w:szCs w:val="20"/>
                <w:color w:val="auto"/>
              </w:rPr>
            </w:pPr>
            <w:r>
              <w:rPr>
                <w:rFonts w:ascii="Arial" w:cs="Arial" w:eastAsia="Arial" w:hAnsi="Arial"/>
                <w:sz w:val="14"/>
                <w:szCs w:val="14"/>
                <w:color w:val="0000FF"/>
                <w:w w:val="91"/>
              </w:rPr>
              <w:t>6,100</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4,752 shares of restricted stock awarded to the reporting person as an inducement grant under the terms of her employment and exempted from a shareholder approved plan as provided for under NYSE Rule 303A.0, and 68.278 shares acquired under The Toro Company Dividend Reinvestment Plan since the date of her last report. The restricted stock and related dividends vest in full on the third anniversary of the date of grant, which was October 19, 2009.</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12/09/2010</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4806"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2019-12-17T00:50:18Z</dcterms:created>
  <dcterms:modified xsi:type="dcterms:W3CDTF">2019-12-17T00:50:18Z</dcterms:modified>
</cp:coreProperties>
</file>