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42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Redetzke Darren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12/07/2010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VP, Commercial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12/07/2010</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632</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12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1,291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680"/>
              <w:spacing w:after="0"/>
              <w:rPr>
                <w:sz w:val="20"/>
                <w:szCs w:val="20"/>
                <w:color w:val="auto"/>
              </w:rPr>
            </w:pPr>
            <w:r>
              <w:rPr>
                <w:rFonts w:ascii="Arial" w:cs="Arial" w:eastAsia="Arial" w:hAnsi="Arial"/>
                <w:sz w:val="18"/>
                <w:szCs w:val="18"/>
                <w:color w:val="0000FF"/>
              </w:rPr>
              <w:t>12/07/2010</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112"/>
              <w:spacing w:after="0"/>
              <w:rPr>
                <w:sz w:val="20"/>
                <w:szCs w:val="20"/>
                <w:color w:val="auto"/>
              </w:rPr>
            </w:pPr>
            <w:r>
              <w:rPr>
                <w:rFonts w:ascii="Arial" w:cs="Arial" w:eastAsia="Arial" w:hAnsi="Arial"/>
                <w:sz w:val="18"/>
                <w:szCs w:val="18"/>
                <w:color w:val="0000FF"/>
              </w:rPr>
              <w:t>206</w:t>
            </w:r>
          </w:p>
        </w:tc>
        <w:tc>
          <w:tcPr>
            <w:tcW w:w="6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64.38</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4"/>
              </w:rPr>
              <w:t>1,085</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7,198.036</w:t>
            </w:r>
            <w:r>
              <w:rPr>
                <w:rFonts w:ascii="Arial" w:cs="Arial" w:eastAsia="Arial" w:hAnsi="Arial"/>
                <w:sz w:val="22"/>
                <w:szCs w:val="22"/>
                <w:color w:val="008000"/>
                <w:w w:val="83"/>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63.52</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12/08/2010</w:t>
            </w:r>
          </w:p>
        </w:tc>
        <w:tc>
          <w:tcPr>
            <w:tcW w:w="1140" w:type="dxa"/>
            <w:vAlign w:val="bottom"/>
          </w:tcPr>
          <w:p>
            <w:pPr>
              <w:spacing w:after="0"/>
              <w:rPr>
                <w:sz w:val="16"/>
                <w:szCs w:val="16"/>
                <w:color w:val="auto"/>
              </w:rPr>
            </w:pPr>
          </w:p>
        </w:tc>
        <w:tc>
          <w:tcPr>
            <w:tcW w:w="48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420" w:type="dxa"/>
            <w:vAlign w:val="bottom"/>
          </w:tcPr>
          <w:p>
            <w:pPr>
              <w:spacing w:after="0"/>
              <w:rPr>
                <w:sz w:val="16"/>
                <w:szCs w:val="16"/>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color w:val="0000FF"/>
              </w:rPr>
              <w:t>4,800</w:t>
            </w:r>
          </w:p>
        </w:tc>
        <w:tc>
          <w:tcPr>
            <w:tcW w:w="340" w:type="dxa"/>
            <w:vAlign w:val="bottom"/>
          </w:tcPr>
          <w:p>
            <w:pPr>
              <w:spacing w:after="0"/>
              <w:rPr>
                <w:sz w:val="16"/>
                <w:szCs w:val="16"/>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60"/>
              <w:spacing w:after="0"/>
              <w:rPr>
                <w:sz w:val="20"/>
                <w:szCs w:val="20"/>
                <w:color w:val="auto"/>
              </w:rPr>
            </w:pPr>
            <w:r>
              <w:rPr>
                <w:rFonts w:ascii="Arial" w:cs="Arial" w:eastAsia="Arial" w:hAnsi="Arial"/>
                <w:sz w:val="14"/>
                <w:szCs w:val="14"/>
                <w:color w:val="0000FF"/>
                <w:w w:val="94"/>
              </w:rPr>
              <w:t>12/08/2020</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20" w:type="dxa"/>
            <w:vAlign w:val="bottom"/>
          </w:tcPr>
          <w:p>
            <w:pPr>
              <w:spacing w:after="0"/>
              <w:rPr>
                <w:sz w:val="16"/>
                <w:szCs w:val="16"/>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8"/>
                <w:szCs w:val="18"/>
                <w:color w:val="0000FF"/>
                <w:w w:val="93"/>
              </w:rPr>
              <w:t>4,800</w:t>
            </w:r>
          </w:p>
        </w:tc>
        <w:tc>
          <w:tcPr>
            <w:tcW w:w="20" w:type="dxa"/>
            <w:vAlign w:val="bottom"/>
          </w:tcPr>
          <w:p>
            <w:pPr>
              <w:spacing w:after="0"/>
              <w:rPr>
                <w:sz w:val="16"/>
                <w:szCs w:val="16"/>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vMerge w:val="restart"/>
          </w:tcPr>
          <w:p>
            <w:pPr>
              <w:ind w:left="280"/>
              <w:spacing w:after="0"/>
              <w:rPr>
                <w:sz w:val="20"/>
                <w:szCs w:val="20"/>
                <w:color w:val="auto"/>
              </w:rPr>
            </w:pPr>
            <w:r>
              <w:rPr>
                <w:rFonts w:ascii="Arial" w:cs="Arial" w:eastAsia="Arial" w:hAnsi="Arial"/>
                <w:sz w:val="14"/>
                <w:szCs w:val="14"/>
                <w:color w:val="0000FF"/>
              </w:rPr>
              <w:t>4,800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5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2008 to Fiscal 2010 Performance Period under The Toro Company Performance Share Plan (the "PSP"), as approved by the registrant's Compensation &amp; Human Resources Committee of its Board of Directors and conditioned upon and subject to confirmation by the registrant's Fiscal 2010 financial results released on December 7, 2010. Performance Share Awards are paid in Shares of Common Stock under the PSP.</w:t>
      </w:r>
    </w:p>
    <w:p>
      <w:pPr>
        <w:spacing w:after="0" w:line="30" w:lineRule="exact"/>
        <w:rPr>
          <w:rFonts w:ascii="Arial" w:cs="Arial" w:eastAsia="Arial" w:hAnsi="Arial"/>
          <w:sz w:val="14"/>
          <w:szCs w:val="14"/>
          <w:color w:val="008000"/>
        </w:rPr>
      </w:pPr>
    </w:p>
    <w:p>
      <w:pPr>
        <w:ind w:left="40" w:right="5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72.691 shares acquired under the dividend reinvestment feature of The Toro Company Investment, Savings &amp; ESOP (IS&amp;ESOP); and 61.406 shares acquired through issuer annual investment fund contributions to the IS&amp;ESOP.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12/09/2010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37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2019-12-16T23:42:09Z</dcterms:created>
  <dcterms:modified xsi:type="dcterms:W3CDTF">2019-12-16T23:42:09Z</dcterms:modified>
</cp:coreProperties>
</file>