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606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6066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HOFFMAN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01/15/2014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Chairman, Pres. &amp;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800" w:type="dxa"/>
            <w:vAlign w:val="bottom"/>
            <w:shd w:val="clear" w:color="auto" w:fill="9A9A9A"/>
          </w:tcPr>
          <w:p>
            <w:pPr>
              <w:spacing w:after="0"/>
              <w:rPr>
                <w:sz w:val="2"/>
                <w:szCs w:val="2"/>
                <w:color w:val="auto"/>
              </w:rPr>
            </w:pPr>
          </w:p>
        </w:tc>
        <w:tc>
          <w:tcPr>
            <w:tcW w:w="140" w:type="dxa"/>
            <w:vAlign w:val="bottom"/>
          </w:tcPr>
          <w:p>
            <w:pPr>
              <w:spacing w:after="0"/>
              <w:rPr>
                <w:sz w:val="2"/>
                <w:szCs w:val="2"/>
                <w:color w:val="auto"/>
              </w:rPr>
            </w:pPr>
          </w:p>
        </w:tc>
        <w:tc>
          <w:tcPr>
            <w:tcW w:w="3560" w:type="dxa"/>
            <w:vAlign w:val="bottom"/>
            <w:gridSpan w:val="4"/>
            <w:vMerge w:val="restart"/>
          </w:tcPr>
          <w:p>
            <w:pPr>
              <w:ind w:left="20"/>
              <w:spacing w:after="0"/>
              <w:rPr>
                <w:sz w:val="20"/>
                <w:szCs w:val="20"/>
                <w:color w:val="auto"/>
              </w:rPr>
            </w:pPr>
            <w:r>
              <w:rPr>
                <w:rFonts w:ascii="Arial" w:cs="Arial" w:eastAsia="Arial" w:hAnsi="Arial"/>
                <w:sz w:val="14"/>
                <w:szCs w:val="14"/>
                <w:color w:val="auto"/>
                <w:w w:val="98"/>
              </w:rPr>
              <w:t>4. If Amendment, Date of Original Filed (Month/Day/Year)</w:t>
            </w:r>
          </w:p>
        </w:tc>
        <w:tc>
          <w:tcPr>
            <w:tcW w:w="3800" w:type="dxa"/>
            <w:vAlign w:val="bottom"/>
            <w:gridSpan w:val="6"/>
            <w:vMerge w:val="restart"/>
          </w:tcPr>
          <w:p>
            <w:pPr>
              <w:ind w:left="4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60" w:type="dxa"/>
            <w:vAlign w:val="bottom"/>
            <w:gridSpan w:val="4"/>
            <w:vMerge w:val="continue"/>
          </w:tcPr>
          <w:p>
            <w:pPr>
              <w:spacing w:after="0"/>
              <w:rPr>
                <w:sz w:val="11"/>
                <w:szCs w:val="11"/>
                <w:color w:val="auto"/>
              </w:rPr>
            </w:pPr>
          </w:p>
        </w:tc>
        <w:tc>
          <w:tcPr>
            <w:tcW w:w="380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60" w:type="dxa"/>
            <w:vAlign w:val="bottom"/>
            <w:gridSpan w:val="3"/>
          </w:tcPr>
          <w:p>
            <w:pPr>
              <w:ind w:left="440"/>
              <w:spacing w:after="0" w:line="155" w:lineRule="exact"/>
              <w:rPr>
                <w:sz w:val="20"/>
                <w:szCs w:val="20"/>
                <w:color w:val="auto"/>
              </w:rPr>
            </w:pPr>
            <w:r>
              <w:rPr>
                <w:rFonts w:ascii="Arial" w:cs="Arial" w:eastAsia="Arial" w:hAnsi="Arial"/>
                <w:sz w:val="14"/>
                <w:szCs w:val="14"/>
                <w:color w:val="auto"/>
              </w:rPr>
              <w:t>Line)</w:t>
            </w: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800" w:type="dxa"/>
            <w:vAlign w:val="bottom"/>
          </w:tcPr>
          <w:p>
            <w:pPr>
              <w:jc w:val="right"/>
              <w:ind w:right="281"/>
              <w:spacing w:after="0"/>
              <w:rPr>
                <w:sz w:val="20"/>
                <w:szCs w:val="20"/>
                <w:color w:val="auto"/>
              </w:rPr>
            </w:pPr>
            <w:r>
              <w:rPr>
                <w:rFonts w:ascii="Arial" w:cs="Arial" w:eastAsia="Arial" w:hAnsi="Arial"/>
                <w:sz w:val="18"/>
                <w:szCs w:val="18"/>
                <w:color w:val="0000FF"/>
              </w:rPr>
              <w:t>55420-1196</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180" w:type="dxa"/>
            <w:vAlign w:val="bottom"/>
            <w:gridSpan w:val="5"/>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800" w:type="dxa"/>
            <w:vAlign w:val="bottom"/>
            <w:tcBorders>
              <w:bottom w:val="single" w:sz="8" w:color="9A9A9A"/>
            </w:tcBorders>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3140" w:type="dxa"/>
            <w:vAlign w:val="bottom"/>
            <w:gridSpan w:val="4"/>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800" w:type="dxa"/>
            <w:vAlign w:val="bottom"/>
            <w:tcBorders>
              <w:top w:val="single" w:sz="8" w:color="EEEEEE"/>
            </w:tcBorders>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31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2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1940" w:type="dxa"/>
            <w:vAlign w:val="bottom"/>
            <w:gridSpan w:val="2"/>
            <w:vMerge w:val="restart"/>
          </w:tcPr>
          <w:p>
            <w:pPr>
              <w:ind w:left="540"/>
              <w:spacing w:after="0"/>
              <w:rPr>
                <w:sz w:val="20"/>
                <w:szCs w:val="20"/>
                <w:color w:val="auto"/>
              </w:rPr>
            </w:pPr>
            <w:r>
              <w:rPr>
                <w:rFonts w:ascii="Arial" w:cs="Arial" w:eastAsia="Arial" w:hAnsi="Arial"/>
                <w:sz w:val="14"/>
                <w:szCs w:val="14"/>
                <w:color w:val="auto"/>
              </w:rPr>
              <w:t>(Zip)</w:t>
            </w: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ind w:left="3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940" w:type="dxa"/>
            <w:vAlign w:val="bottom"/>
            <w:gridSpan w:val="2"/>
            <w:vMerge w:val="continue"/>
          </w:tcPr>
          <w:p>
            <w:pPr>
              <w:spacing w:after="0"/>
              <w:rPr>
                <w:sz w:val="8"/>
                <w:szCs w:val="8"/>
                <w:color w:val="auto"/>
              </w:rPr>
            </w:pPr>
          </w:p>
        </w:tc>
        <w:tc>
          <w:tcPr>
            <w:tcW w:w="1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4360" w:type="dxa"/>
            <w:vAlign w:val="bottom"/>
            <w:tcBorders>
              <w:bottom w:val="single" w:sz="8" w:color="2C2C2C"/>
            </w:tcBorders>
            <w:gridSpan w:val="7"/>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360" w:type="dxa"/>
            <w:vAlign w:val="bottom"/>
            <w:tcBorders>
              <w:top w:val="single" w:sz="8" w:color="2C2C2C"/>
            </w:tcBorders>
            <w:gridSpan w:val="9"/>
          </w:tcPr>
          <w:p>
            <w:pPr>
              <w:ind w:left="2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2"/>
          </w:tcPr>
          <w:p>
            <w:pPr>
              <w:ind w:left="94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40" w:type="dxa"/>
            <w:vAlign w:val="bottom"/>
            <w:gridSpan w:val="2"/>
          </w:tcPr>
          <w:p>
            <w:pPr>
              <w:ind w:left="94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40" w:type="dxa"/>
            <w:vAlign w:val="bottom"/>
            <w:gridSpan w:val="2"/>
          </w:tcPr>
          <w:p>
            <w:pPr>
              <w:jc w:val="center"/>
              <w:ind w:left="861"/>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1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9"/>
              </w:rPr>
              <w:t>Performance Share Units</w:t>
            </w:r>
          </w:p>
        </w:tc>
        <w:tc>
          <w:tcPr>
            <w:tcW w:w="1940" w:type="dxa"/>
            <w:vAlign w:val="bottom"/>
            <w:tcBorders>
              <w:bottom w:val="single" w:sz="8" w:color="2C2C2C"/>
            </w:tcBorders>
            <w:gridSpan w:val="2"/>
          </w:tcPr>
          <w:p>
            <w:pPr>
              <w:jc w:val="center"/>
              <w:ind w:left="861"/>
              <w:spacing w:after="0"/>
              <w:rPr>
                <w:sz w:val="20"/>
                <w:szCs w:val="20"/>
                <w:color w:val="auto"/>
              </w:rPr>
            </w:pPr>
            <w:r>
              <w:rPr>
                <w:rFonts w:ascii="Arial" w:cs="Arial" w:eastAsia="Arial" w:hAnsi="Arial"/>
                <w:sz w:val="18"/>
                <w:szCs w:val="18"/>
                <w:color w:val="0000FF"/>
                <w:w w:val="88"/>
              </w:rPr>
              <w:t>01/15/2014</w:t>
            </w:r>
          </w:p>
        </w:tc>
        <w:tc>
          <w:tcPr>
            <w:tcW w:w="1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10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98,487.387</w:t>
            </w:r>
            <w:r>
              <w:rPr>
                <w:rFonts w:ascii="Arial" w:cs="Arial" w:eastAsia="Arial" w:hAnsi="Arial"/>
                <w:sz w:val="22"/>
                <w:szCs w:val="22"/>
                <w:color w:val="008000"/>
                <w:w w:val="85"/>
                <w:vertAlign w:val="superscript"/>
              </w:rPr>
              <w:t>(1)</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304.463</w:t>
            </w:r>
            <w:r>
              <w:rPr>
                <w:rFonts w:ascii="Arial" w:cs="Arial" w:eastAsia="Arial" w:hAnsi="Arial"/>
                <w:sz w:val="22"/>
                <w:szCs w:val="22"/>
                <w:color w:val="008000"/>
                <w:w w:val="84"/>
                <w:vertAlign w:val="superscript"/>
              </w:rPr>
              <w:t>(2)</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861"/>
              <w:spacing w:after="0"/>
              <w:rPr>
                <w:sz w:val="20"/>
                <w:szCs w:val="20"/>
                <w:color w:val="auto"/>
              </w:rPr>
            </w:pPr>
            <w:r>
              <w:rPr>
                <w:rFonts w:ascii="Arial" w:cs="Arial" w:eastAsia="Arial" w:hAnsi="Arial"/>
                <w:sz w:val="18"/>
                <w:szCs w:val="18"/>
                <w:color w:val="0000FF"/>
                <w:w w:val="88"/>
              </w:rPr>
              <w:t>01/15/2014</w:t>
            </w:r>
          </w:p>
        </w:tc>
        <w:tc>
          <w:tcPr>
            <w:tcW w:w="1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98,487.387</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574,801.154</w:t>
            </w:r>
            <w:r>
              <w:rPr>
                <w:rFonts w:ascii="Arial" w:cs="Arial" w:eastAsia="Arial" w:hAnsi="Arial"/>
                <w:sz w:val="22"/>
                <w:szCs w:val="22"/>
                <w:color w:val="008000"/>
                <w:w w:val="84"/>
                <w:vertAlign w:val="superscript"/>
              </w:rPr>
              <w:t>(3)</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20" w:type="dxa"/>
            <w:vAlign w:val="bottom"/>
          </w:tcPr>
          <w:p>
            <w:pPr>
              <w:spacing w:after="0"/>
              <w:rPr>
                <w:sz w:val="23"/>
                <w:szCs w:val="23"/>
                <w:color w:val="auto"/>
              </w:rPr>
            </w:pPr>
          </w:p>
        </w:tc>
        <w:tc>
          <w:tcPr>
            <w:tcW w:w="1940" w:type="dxa"/>
            <w:vAlign w:val="bottom"/>
            <w:gridSpan w:val="2"/>
          </w:tcPr>
          <w:p>
            <w:pPr>
              <w:jc w:val="center"/>
              <w:ind w:left="861"/>
              <w:spacing w:after="0"/>
              <w:rPr>
                <w:sz w:val="20"/>
                <w:szCs w:val="20"/>
                <w:color w:val="auto"/>
              </w:rPr>
            </w:pPr>
            <w:r>
              <w:rPr>
                <w:rFonts w:ascii="Arial" w:cs="Arial" w:eastAsia="Arial" w:hAnsi="Arial"/>
                <w:sz w:val="18"/>
                <w:szCs w:val="18"/>
                <w:color w:val="0000FF"/>
                <w:w w:val="88"/>
              </w:rPr>
              <w:t>01/15/2014</w:t>
            </w:r>
          </w:p>
        </w:tc>
        <w:tc>
          <w:tcPr>
            <w:tcW w:w="120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F</w:t>
            </w:r>
          </w:p>
        </w:tc>
        <w:tc>
          <w:tcPr>
            <w:tcW w:w="1060" w:type="dxa"/>
            <w:vAlign w:val="bottom"/>
          </w:tcPr>
          <w:p>
            <w:pPr>
              <w:jc w:val="center"/>
              <w:spacing w:after="0"/>
              <w:rPr>
                <w:sz w:val="20"/>
                <w:szCs w:val="20"/>
                <w:color w:val="auto"/>
              </w:rPr>
            </w:pPr>
            <w:r>
              <w:rPr>
                <w:rFonts w:ascii="Arial" w:cs="Arial" w:eastAsia="Arial" w:hAnsi="Arial"/>
                <w:sz w:val="18"/>
                <w:szCs w:val="18"/>
                <w:color w:val="0000FF"/>
                <w:w w:val="86"/>
              </w:rPr>
              <w:t>46,322.387</w:t>
            </w:r>
          </w:p>
        </w:tc>
        <w:tc>
          <w:tcPr>
            <w:tcW w:w="4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63.99</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528,478.767</w:t>
            </w:r>
          </w:p>
        </w:tc>
        <w:tc>
          <w:tcPr>
            <w:tcW w:w="960" w:type="dxa"/>
            <w:vAlign w:val="bottom"/>
          </w:tcPr>
          <w:p>
            <w:pPr>
              <w:jc w:val="center"/>
              <w:spacing w:after="0"/>
              <w:rPr>
                <w:sz w:val="20"/>
                <w:szCs w:val="20"/>
                <w:color w:val="auto"/>
              </w:rPr>
            </w:pPr>
            <w:r>
              <w:rPr>
                <w:rFonts w:ascii="Arial" w:cs="Arial" w:eastAsia="Arial" w:hAnsi="Arial"/>
                <w:sz w:val="18"/>
                <w:szCs w:val="18"/>
                <w:color w:val="0000FF"/>
              </w:rPr>
              <w:t>D</w:t>
            </w: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100" w:type="dxa"/>
            <w:vAlign w:val="bottom"/>
            <w:tcBorders>
              <w:bottom w:val="single" w:sz="8" w:color="2C2C2C"/>
            </w:tcBorders>
            <w:gridSpan w:val="3"/>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1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9"/>
              </w:rPr>
              <w:t>Performance Share Units</w:t>
            </w:r>
          </w:p>
        </w:tc>
        <w:tc>
          <w:tcPr>
            <w:tcW w:w="1940" w:type="dxa"/>
            <w:vAlign w:val="bottom"/>
            <w:tcBorders>
              <w:bottom w:val="single" w:sz="8" w:color="2C2C2C"/>
            </w:tcBorders>
            <w:gridSpan w:val="2"/>
          </w:tcPr>
          <w:p>
            <w:pPr>
              <w:jc w:val="center"/>
              <w:ind w:left="861"/>
              <w:spacing w:after="0"/>
              <w:rPr>
                <w:sz w:val="20"/>
                <w:szCs w:val="20"/>
                <w:color w:val="auto"/>
              </w:rPr>
            </w:pPr>
            <w:r>
              <w:rPr>
                <w:rFonts w:ascii="Arial" w:cs="Arial" w:eastAsia="Arial" w:hAnsi="Arial"/>
                <w:sz w:val="18"/>
                <w:szCs w:val="18"/>
                <w:color w:val="0000FF"/>
                <w:w w:val="88"/>
              </w:rPr>
              <w:t>01/16/2014</w:t>
            </w:r>
          </w:p>
        </w:tc>
        <w:tc>
          <w:tcPr>
            <w:tcW w:w="1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10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304.463</w:t>
            </w:r>
            <w:r>
              <w:rPr>
                <w:rFonts w:ascii="Arial" w:cs="Arial" w:eastAsia="Arial" w:hAnsi="Arial"/>
                <w:sz w:val="22"/>
                <w:szCs w:val="22"/>
                <w:color w:val="008000"/>
                <w:w w:val="84"/>
                <w:vertAlign w:val="superscript"/>
              </w:rPr>
              <w:t>(4)</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79"/>
              </w:rPr>
              <w:t>0</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9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20" w:type="dxa"/>
            <w:vAlign w:val="bottom"/>
          </w:tcPr>
          <w:p>
            <w:pPr>
              <w:spacing w:after="0"/>
              <w:rPr>
                <w:sz w:val="23"/>
                <w:szCs w:val="23"/>
                <w:color w:val="auto"/>
              </w:rPr>
            </w:pPr>
          </w:p>
        </w:tc>
        <w:tc>
          <w:tcPr>
            <w:tcW w:w="1940" w:type="dxa"/>
            <w:vAlign w:val="bottom"/>
            <w:gridSpan w:val="2"/>
          </w:tcPr>
          <w:p>
            <w:pPr>
              <w:jc w:val="center"/>
              <w:ind w:left="861"/>
              <w:spacing w:after="0"/>
              <w:rPr>
                <w:sz w:val="20"/>
                <w:szCs w:val="20"/>
                <w:color w:val="auto"/>
              </w:rPr>
            </w:pPr>
            <w:r>
              <w:rPr>
                <w:rFonts w:ascii="Arial" w:cs="Arial" w:eastAsia="Arial" w:hAnsi="Arial"/>
                <w:sz w:val="18"/>
                <w:szCs w:val="18"/>
                <w:color w:val="0000FF"/>
                <w:w w:val="88"/>
              </w:rPr>
              <w:t>01/16/2014</w:t>
            </w:r>
          </w:p>
        </w:tc>
        <w:tc>
          <w:tcPr>
            <w:tcW w:w="120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Pr>
          <w:p>
            <w:pPr>
              <w:jc w:val="center"/>
              <w:spacing w:after="0"/>
              <w:rPr>
                <w:sz w:val="20"/>
                <w:szCs w:val="20"/>
                <w:color w:val="auto"/>
              </w:rPr>
            </w:pPr>
            <w:r>
              <w:rPr>
                <w:rFonts w:ascii="Arial" w:cs="Arial" w:eastAsia="Arial" w:hAnsi="Arial"/>
                <w:sz w:val="18"/>
                <w:szCs w:val="18"/>
                <w:color w:val="0000FF"/>
                <w:w w:val="89"/>
              </w:rPr>
              <w:t>304.463</w:t>
            </w:r>
          </w:p>
        </w:tc>
        <w:tc>
          <w:tcPr>
            <w:tcW w:w="48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528,783.23</w:t>
            </w:r>
          </w:p>
        </w:tc>
        <w:tc>
          <w:tcPr>
            <w:tcW w:w="960" w:type="dxa"/>
            <w:vAlign w:val="bottom"/>
          </w:tcPr>
          <w:p>
            <w:pPr>
              <w:jc w:val="center"/>
              <w:spacing w:after="0"/>
              <w:rPr>
                <w:sz w:val="20"/>
                <w:szCs w:val="20"/>
                <w:color w:val="auto"/>
              </w:rPr>
            </w:pPr>
            <w:r>
              <w:rPr>
                <w:rFonts w:ascii="Arial" w:cs="Arial" w:eastAsia="Arial" w:hAnsi="Arial"/>
                <w:sz w:val="18"/>
                <w:szCs w:val="18"/>
                <w:color w:val="0000FF"/>
              </w:rPr>
              <w:t>D</w:t>
            </w: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20" w:type="dxa"/>
            <w:vAlign w:val="bottom"/>
          </w:tcPr>
          <w:p>
            <w:pPr>
              <w:spacing w:after="0"/>
              <w:rPr>
                <w:sz w:val="23"/>
                <w:szCs w:val="23"/>
                <w:color w:val="auto"/>
              </w:rPr>
            </w:pPr>
          </w:p>
        </w:tc>
        <w:tc>
          <w:tcPr>
            <w:tcW w:w="1940" w:type="dxa"/>
            <w:vAlign w:val="bottom"/>
            <w:gridSpan w:val="2"/>
          </w:tcPr>
          <w:p>
            <w:pPr>
              <w:jc w:val="center"/>
              <w:ind w:left="861"/>
              <w:spacing w:after="0"/>
              <w:rPr>
                <w:sz w:val="20"/>
                <w:szCs w:val="20"/>
                <w:color w:val="auto"/>
              </w:rPr>
            </w:pPr>
            <w:r>
              <w:rPr>
                <w:rFonts w:ascii="Arial" w:cs="Arial" w:eastAsia="Arial" w:hAnsi="Arial"/>
                <w:sz w:val="18"/>
                <w:szCs w:val="18"/>
                <w:color w:val="0000FF"/>
                <w:w w:val="88"/>
              </w:rPr>
              <w:t>01/16/2014</w:t>
            </w:r>
          </w:p>
        </w:tc>
        <w:tc>
          <w:tcPr>
            <w:tcW w:w="120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F</w:t>
            </w:r>
          </w:p>
        </w:tc>
        <w:tc>
          <w:tcPr>
            <w:tcW w:w="1060" w:type="dxa"/>
            <w:vAlign w:val="bottom"/>
          </w:tcPr>
          <w:p>
            <w:pPr>
              <w:jc w:val="center"/>
              <w:spacing w:after="0"/>
              <w:rPr>
                <w:sz w:val="20"/>
                <w:szCs w:val="20"/>
                <w:color w:val="auto"/>
              </w:rPr>
            </w:pPr>
            <w:r>
              <w:rPr>
                <w:rFonts w:ascii="Arial" w:cs="Arial" w:eastAsia="Arial" w:hAnsi="Arial"/>
                <w:sz w:val="18"/>
                <w:szCs w:val="18"/>
                <w:color w:val="0000FF"/>
                <w:w w:val="89"/>
              </w:rPr>
              <w:t>132.463</w:t>
            </w:r>
          </w:p>
        </w:tc>
        <w:tc>
          <w:tcPr>
            <w:tcW w:w="4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63.55</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528,650.767</w:t>
            </w:r>
          </w:p>
        </w:tc>
        <w:tc>
          <w:tcPr>
            <w:tcW w:w="960" w:type="dxa"/>
            <w:vAlign w:val="bottom"/>
          </w:tcPr>
          <w:p>
            <w:pPr>
              <w:jc w:val="center"/>
              <w:spacing w:after="0"/>
              <w:rPr>
                <w:sz w:val="20"/>
                <w:szCs w:val="20"/>
                <w:color w:val="auto"/>
              </w:rPr>
            </w:pPr>
            <w:r>
              <w:rPr>
                <w:rFonts w:ascii="Arial" w:cs="Arial" w:eastAsia="Arial" w:hAnsi="Arial"/>
                <w:sz w:val="18"/>
                <w:szCs w:val="18"/>
                <w:color w:val="0000FF"/>
              </w:rPr>
              <w:t>D</w:t>
            </w: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0000FF"/>
              </w:rPr>
              <w:t>Held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0000FF"/>
              </w:rPr>
              <w:t>Michael 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0000FF"/>
              </w:rPr>
              <w:t>Hoffman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121,382.026</w:t>
            </w:r>
            <w:r>
              <w:rPr>
                <w:rFonts w:ascii="Arial" w:cs="Arial" w:eastAsia="Arial" w:hAnsi="Arial"/>
                <w:sz w:val="22"/>
                <w:szCs w:val="22"/>
                <w:color w:val="008000"/>
                <w:w w:val="84"/>
                <w:vertAlign w:val="superscript"/>
              </w:rPr>
              <w:t>(5)</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80" w:type="dxa"/>
            <w:vAlign w:val="bottom"/>
            <w:gridSpan w:val="2"/>
          </w:tcPr>
          <w:p>
            <w:pPr>
              <w:ind w:left="60"/>
              <w:spacing w:after="0"/>
              <w:rPr>
                <w:sz w:val="20"/>
                <w:szCs w:val="20"/>
                <w:color w:val="auto"/>
              </w:rPr>
            </w:pPr>
            <w:r>
              <w:rPr>
                <w:rFonts w:ascii="Arial" w:cs="Arial" w:eastAsia="Arial" w:hAnsi="Arial"/>
                <w:sz w:val="18"/>
                <w:szCs w:val="18"/>
                <w:color w:val="0000FF"/>
              </w:rPr>
              <w:t>Irrevocable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0000FF"/>
              </w:rPr>
              <w:t>Lifetime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65,716.757</w:t>
            </w:r>
            <w:r>
              <w:rPr>
                <w:rFonts w:ascii="Arial" w:cs="Arial" w:eastAsia="Arial" w:hAnsi="Arial"/>
                <w:sz w:val="22"/>
                <w:szCs w:val="22"/>
                <w:color w:val="008000"/>
                <w:w w:val="85"/>
                <w:vertAlign w:val="superscript"/>
              </w:rPr>
              <w:t>(6)</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80" w:type="dxa"/>
            <w:vAlign w:val="bottom"/>
            <w:gridSpan w:val="2"/>
          </w:tcPr>
          <w:p>
            <w:pPr>
              <w:ind w:left="6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4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4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73"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88,176 shares of common stock and 10,311.387 related dividend reinvestment shares in connection with Performance Share Awards granted under The Toro Company Performance Share Plan, as approved by the registrant's Compensation &amp; Human Resources Committee of its Board of Directors. The reporting person previously deferred the payout of his Performance Share Awards under The Toro Company Deferred Compensation Plan for Officers (the "Deferred Plan") and, accordingly, the reporting person's Performance Share Awards were initially paid in performance share units under the Deferred Plan. A performance share unit under the Deferred Plan is the economic equivalent of one share of Toro common stock. The reporting person previously elected to receive a single lump sum distribution, payable in January 2014 under the terms of the Deferred Plan, and, therefore, the perfomance share units were settled for shares of Toro common stock.</w:t>
      </w:r>
    </w:p>
    <w:p>
      <w:pPr>
        <w:spacing w:after="0" w:line="11" w:lineRule="exact"/>
        <w:rPr>
          <w:rFonts w:ascii="Arial" w:cs="Arial" w:eastAsia="Arial" w:hAnsi="Arial"/>
          <w:sz w:val="12"/>
          <w:szCs w:val="12"/>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304.463 performance share units acquired by the reporting person under the dividend reinvestment feature of the Deferred Plan since the date of his last report, which were earned on January 15, 2014, but not reflected in the reporting person's account until January 16, 2014.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909.052 shares of common stock acquired by the reporting person under The Toro Company Dividend Reinvestment Plan (the "DRIP") since the date of his last report.</w:t>
      </w:r>
    </w:p>
    <w:p>
      <w:pPr>
        <w:spacing w:after="0" w:line="41"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payout of additional dividend reinvestment shares earned on January 15, 2014, but not reflected in the reporting person's account until January 16, 2014, on the 98,487.387 performance share units that were paid out as discussed in Footnote #1 hereto.</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374.971 shares of common stock acquired by the reporting person under the DRIP since the date of his last report.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202.568 shares of common stock acquired by the reporting person under the dividend reinvestment feature of The Toro Company Investment, Savings &amp; ESOP since the date of his last report.</w:t>
      </w:r>
    </w:p>
    <w:p>
      <w:pPr>
        <w:sectPr>
          <w:pgSz w:w="11900" w:h="16838" w:orient="portrait"/>
          <w:cols w:equalWidth="0" w:num="1">
            <w:col w:w="11420"/>
          </w:cols>
          <w:pgMar w:left="240" w:top="226" w:right="239" w:bottom="0" w:gutter="0" w:footer="0" w:header="0"/>
          <w:type w:val="continuous"/>
        </w:sectPr>
      </w:pPr>
    </w:p>
    <w:p>
      <w:pPr>
        <w:spacing w:after="0" w:line="9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Nancy A. McGrath,</w:t>
      </w:r>
      <w:r>
        <w:rPr>
          <w:sz w:val="20"/>
          <w:szCs w:val="20"/>
          <w:color w:val="auto"/>
        </w:rPr>
        <w:tab/>
      </w:r>
      <w:r>
        <w:rPr>
          <w:rFonts w:ascii="Arial" w:cs="Arial" w:eastAsia="Arial" w:hAnsi="Arial"/>
          <w:sz w:val="15"/>
          <w:szCs w:val="15"/>
          <w:color w:val="0000FF"/>
        </w:rPr>
        <w:t>01/17/2014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55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55650"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2019-12-17T02:45:54Z</dcterms:created>
  <dcterms:modified xsi:type="dcterms:W3CDTF">2019-12-17T02:45:54Z</dcterms:modified>
</cp:coreProperties>
</file>