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354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35444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972"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Grams Blake 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TORO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TTC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08/25/2015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43"/>
        <w:spacing w:after="0"/>
        <w:rPr>
          <w:sz w:val="20"/>
          <w:szCs w:val="20"/>
          <w:color w:val="auto"/>
        </w:rPr>
      </w:pPr>
      <w:r>
        <w:rPr>
          <w:rFonts w:ascii="Arial" w:cs="Arial" w:eastAsia="Arial" w:hAnsi="Arial"/>
          <w:sz w:val="18"/>
          <w:szCs w:val="18"/>
          <w:color w:val="0000FF"/>
        </w:rPr>
        <w:t>VP, Global Operations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972"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BLOOMINGTON MN</w:t>
            </w:r>
          </w:p>
        </w:tc>
        <w:tc>
          <w:tcPr>
            <w:tcW w:w="1680" w:type="dxa"/>
            <w:vAlign w:val="bottom"/>
          </w:tcPr>
          <w:p>
            <w:pPr>
              <w:jc w:val="right"/>
              <w:ind w:right="282"/>
              <w:spacing w:after="0"/>
              <w:rPr>
                <w:sz w:val="20"/>
                <w:szCs w:val="20"/>
                <w:color w:val="auto"/>
              </w:rPr>
            </w:pPr>
            <w:r>
              <w:rPr>
                <w:rFonts w:ascii="Arial" w:cs="Arial" w:eastAsia="Arial" w:hAnsi="Arial"/>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972"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540" w:type="dxa"/>
            <w:vAlign w:val="bottom"/>
            <w:gridSpan w:val="2"/>
          </w:tcPr>
          <w:p>
            <w:pPr>
              <w:ind w:left="4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44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540" w:type="dxa"/>
            <w:vAlign w:val="bottom"/>
            <w:gridSpan w:val="2"/>
          </w:tcPr>
          <w:p>
            <w:pPr>
              <w:ind w:left="4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48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540" w:type="dxa"/>
            <w:vAlign w:val="bottom"/>
            <w:gridSpan w:val="2"/>
          </w:tcPr>
          <w:p>
            <w:pPr>
              <w:ind w:left="540"/>
              <w:spacing w:after="0"/>
              <w:rPr>
                <w:sz w:val="20"/>
                <w:szCs w:val="20"/>
                <w:color w:val="auto"/>
              </w:rPr>
            </w:pPr>
            <w:r>
              <w:rPr>
                <w:rFonts w:ascii="Arial" w:cs="Arial" w:eastAsia="Arial" w:hAnsi="Arial"/>
                <w:sz w:val="18"/>
                <w:szCs w:val="18"/>
                <w:color w:val="0000FF"/>
              </w:rPr>
              <w:t>08/25/2015</w:t>
            </w:r>
          </w:p>
        </w:tc>
        <w:tc>
          <w:tcPr>
            <w:tcW w:w="4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20" w:type="dxa"/>
            <w:vAlign w:val="bottom"/>
          </w:tcPr>
          <w:p>
            <w:pPr>
              <w:ind w:left="140"/>
              <w:spacing w:after="0"/>
              <w:rPr>
                <w:sz w:val="20"/>
                <w:szCs w:val="20"/>
                <w:color w:val="auto"/>
              </w:rPr>
            </w:pPr>
            <w:r>
              <w:rPr>
                <w:rFonts w:ascii="Arial" w:cs="Arial" w:eastAsia="Arial" w:hAnsi="Arial"/>
                <w:sz w:val="14"/>
                <w:szCs w:val="14"/>
                <w:color w:val="0000FF"/>
              </w:rPr>
              <w:t>M</w:t>
            </w:r>
          </w:p>
        </w:tc>
        <w:tc>
          <w:tcPr>
            <w:tcW w:w="780" w:type="dxa"/>
            <w:vAlign w:val="bottom"/>
          </w:tcPr>
          <w:p>
            <w:pPr>
              <w:ind w:left="160"/>
              <w:spacing w:after="0"/>
              <w:rPr>
                <w:sz w:val="20"/>
                <w:szCs w:val="20"/>
                <w:color w:val="auto"/>
              </w:rPr>
            </w:pPr>
            <w:r>
              <w:rPr>
                <w:rFonts w:ascii="Arial" w:cs="Arial" w:eastAsia="Arial" w:hAnsi="Arial"/>
                <w:sz w:val="18"/>
                <w:szCs w:val="18"/>
                <w:color w:val="0000FF"/>
              </w:rPr>
              <w:t>3,000</w:t>
            </w:r>
          </w:p>
        </w:tc>
        <w:tc>
          <w:tcPr>
            <w:tcW w:w="520" w:type="dxa"/>
            <w:vAlign w:val="bottom"/>
          </w:tcPr>
          <w:p>
            <w:pPr>
              <w:ind w:left="160"/>
              <w:spacing w:after="0"/>
              <w:rPr>
                <w:sz w:val="20"/>
                <w:szCs w:val="20"/>
                <w:color w:val="auto"/>
              </w:rPr>
            </w:pPr>
            <w:r>
              <w:rPr>
                <w:rFonts w:ascii="Arial" w:cs="Arial" w:eastAsia="Arial" w:hAnsi="Arial"/>
                <w:sz w:val="18"/>
                <w:szCs w:val="18"/>
                <w:color w:val="0000FF"/>
              </w:rPr>
              <w:t>A</w:t>
            </w:r>
          </w:p>
        </w:tc>
        <w:tc>
          <w:tcPr>
            <w:tcW w:w="780" w:type="dxa"/>
            <w:vAlign w:val="bottom"/>
          </w:tcPr>
          <w:p>
            <w:pPr>
              <w:jc w:val="center"/>
              <w:ind w:right="32"/>
              <w:spacing w:after="0"/>
              <w:rPr>
                <w:sz w:val="20"/>
                <w:szCs w:val="20"/>
                <w:color w:val="auto"/>
              </w:rPr>
            </w:pPr>
            <w:r>
              <w:rPr>
                <w:rFonts w:ascii="Arial" w:cs="Arial" w:eastAsia="Arial" w:hAnsi="Arial"/>
                <w:sz w:val="18"/>
                <w:szCs w:val="18"/>
                <w:color w:val="auto"/>
                <w:w w:val="98"/>
              </w:rPr>
              <w:t>$</w:t>
            </w:r>
            <w:r>
              <w:rPr>
                <w:rFonts w:ascii="Arial" w:cs="Arial" w:eastAsia="Arial" w:hAnsi="Arial"/>
                <w:sz w:val="18"/>
                <w:szCs w:val="18"/>
                <w:color w:val="0000FF"/>
                <w:w w:val="98"/>
              </w:rPr>
              <w:t>20.365</w:t>
            </w:r>
          </w:p>
        </w:tc>
        <w:tc>
          <w:tcPr>
            <w:tcW w:w="2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3,000</w:t>
            </w:r>
          </w:p>
        </w:tc>
        <w:tc>
          <w:tcPr>
            <w:tcW w:w="320" w:type="dxa"/>
            <w:vAlign w:val="bottom"/>
          </w:tcPr>
          <w:p>
            <w:pPr>
              <w:spacing w:after="0"/>
              <w:rPr>
                <w:sz w:val="23"/>
                <w:szCs w:val="23"/>
                <w:color w:val="auto"/>
              </w:rPr>
            </w:pPr>
          </w:p>
        </w:tc>
        <w:tc>
          <w:tcPr>
            <w:tcW w:w="600" w:type="dxa"/>
            <w:vAlign w:val="bottom"/>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40"/>
              <w:spacing w:after="0"/>
              <w:rPr>
                <w:sz w:val="20"/>
                <w:szCs w:val="20"/>
                <w:color w:val="auto"/>
              </w:rPr>
            </w:pPr>
            <w:r>
              <w:rPr>
                <w:rFonts w:ascii="Arial" w:cs="Arial" w:eastAsia="Arial" w:hAnsi="Arial"/>
                <w:sz w:val="18"/>
                <w:szCs w:val="18"/>
                <w:color w:val="0000FF"/>
              </w:rPr>
              <w:t>08/25/2015</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60"/>
              <w:spacing w:after="0"/>
              <w:rPr>
                <w:sz w:val="20"/>
                <w:szCs w:val="20"/>
                <w:color w:val="auto"/>
              </w:rPr>
            </w:pPr>
            <w:r>
              <w:rPr>
                <w:rFonts w:ascii="Arial" w:cs="Arial" w:eastAsia="Arial" w:hAnsi="Arial"/>
                <w:sz w:val="14"/>
                <w:szCs w:val="14"/>
                <w:color w:val="0000FF"/>
              </w:rPr>
              <w:t>S</w:t>
            </w:r>
          </w:p>
        </w:tc>
        <w:tc>
          <w:tcPr>
            <w:tcW w:w="78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3,000</w:t>
            </w:r>
          </w:p>
        </w:tc>
        <w:tc>
          <w:tcPr>
            <w:tcW w:w="52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68.794</w:t>
            </w:r>
            <w:r>
              <w:rPr>
                <w:rFonts w:ascii="Arial" w:cs="Arial" w:eastAsia="Arial" w:hAnsi="Arial"/>
                <w:sz w:val="22"/>
                <w:szCs w:val="22"/>
                <w:color w:val="008000"/>
                <w:w w:val="86"/>
                <w:vertAlign w:val="superscript"/>
              </w:rPr>
              <w:t>(1)</w:t>
            </w:r>
          </w:p>
        </w:tc>
        <w:tc>
          <w:tcPr>
            <w:tcW w:w="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left="372"/>
              <w:spacing w:after="0"/>
              <w:rPr>
                <w:sz w:val="20"/>
                <w:szCs w:val="20"/>
                <w:color w:val="auto"/>
              </w:rPr>
            </w:pPr>
            <w:r>
              <w:rPr>
                <w:rFonts w:ascii="Arial" w:cs="Arial" w:eastAsia="Arial" w:hAnsi="Arial"/>
                <w:sz w:val="18"/>
                <w:szCs w:val="18"/>
                <w:color w:val="0000FF"/>
                <w:w w:val="79"/>
              </w:rPr>
              <w:t>0</w:t>
            </w:r>
          </w:p>
        </w:tc>
        <w:tc>
          <w:tcPr>
            <w:tcW w:w="4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The Toro</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Company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40" w:type="dxa"/>
            <w:vAlign w:val="bottom"/>
            <w:gridSpan w:val="2"/>
          </w:tcPr>
          <w:p>
            <w:pPr>
              <w:jc w:val="center"/>
              <w:spacing w:after="0" w:line="217" w:lineRule="exact"/>
              <w:rPr>
                <w:sz w:val="20"/>
                <w:szCs w:val="20"/>
                <w:color w:val="auto"/>
              </w:rPr>
            </w:pPr>
            <w:r>
              <w:rPr>
                <w:rFonts w:ascii="Arial" w:cs="Arial" w:eastAsia="Arial" w:hAnsi="Arial"/>
                <w:sz w:val="18"/>
                <w:szCs w:val="18"/>
                <w:color w:val="0000FF"/>
                <w:w w:val="84"/>
              </w:rPr>
              <w:t>117.789</w:t>
            </w:r>
            <w:r>
              <w:rPr>
                <w:rFonts w:ascii="Arial" w:cs="Arial" w:eastAsia="Arial" w:hAnsi="Arial"/>
                <w:sz w:val="22"/>
                <w:szCs w:val="22"/>
                <w:color w:val="008000"/>
                <w:w w:val="84"/>
                <w:vertAlign w:val="superscript"/>
              </w:rPr>
              <w:t>(2)</w:t>
            </w:r>
          </w:p>
        </w:tc>
        <w:tc>
          <w:tcPr>
            <w:tcW w:w="320" w:type="dxa"/>
            <w:vAlign w:val="bottom"/>
          </w:tcPr>
          <w:p>
            <w:pPr>
              <w:spacing w:after="0"/>
              <w:rPr>
                <w:sz w:val="18"/>
                <w:szCs w:val="18"/>
                <w:color w:val="auto"/>
              </w:rPr>
            </w:pPr>
          </w:p>
        </w:tc>
        <w:tc>
          <w:tcPr>
            <w:tcW w:w="600" w:type="dxa"/>
            <w:vAlign w:val="bottom"/>
          </w:tcPr>
          <w:p>
            <w:pPr>
              <w:jc w:val="center"/>
              <w:ind w:right="309"/>
              <w:spacing w:after="0"/>
              <w:rPr>
                <w:sz w:val="20"/>
                <w:szCs w:val="20"/>
                <w:color w:val="auto"/>
              </w:rPr>
            </w:pPr>
            <w:r>
              <w:rPr>
                <w:rFonts w:ascii="Arial" w:cs="Arial" w:eastAsia="Arial" w:hAnsi="Arial"/>
                <w:sz w:val="18"/>
                <w:szCs w:val="18"/>
                <w:color w:val="0000FF"/>
              </w:rPr>
              <w:t>I</w:t>
            </w: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Investment,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Savings &amp;</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Arial" w:cs="Arial" w:eastAsia="Arial" w:hAnsi="Arial"/>
                <w:sz w:val="18"/>
                <w:szCs w:val="18"/>
                <w:color w:val="0000FF"/>
              </w:rPr>
              <w:t>ESOP</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Performance Share Units</w:t>
            </w:r>
          </w:p>
        </w:tc>
        <w:tc>
          <w:tcPr>
            <w:tcW w:w="11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5"/>
              </w:rPr>
              <w:t>14,566.647</w:t>
            </w:r>
            <w:r>
              <w:rPr>
                <w:rFonts w:ascii="Arial" w:cs="Arial" w:eastAsia="Arial" w:hAnsi="Arial"/>
                <w:sz w:val="22"/>
                <w:szCs w:val="22"/>
                <w:color w:val="008000"/>
                <w:w w:val="85"/>
                <w:vertAlign w:val="superscript"/>
              </w:rPr>
              <w:t>(3)</w:t>
            </w:r>
          </w:p>
        </w:tc>
        <w:tc>
          <w:tcPr>
            <w:tcW w:w="3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9"/>
              <w:spacing w:after="0"/>
              <w:rPr>
                <w:sz w:val="20"/>
                <w:szCs w:val="20"/>
                <w:color w:val="auto"/>
              </w:rPr>
            </w:pPr>
            <w:r>
              <w:rPr>
                <w:rFonts w:ascii="Arial" w:cs="Arial" w:eastAsia="Arial" w:hAnsi="Arial"/>
                <w:sz w:val="18"/>
                <w:szCs w:val="18"/>
                <w:color w:val="0000FF"/>
                <w:w w:val="91"/>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8. Price of</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5"/>
                <w:szCs w:val="15"/>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2"/>
              </w:rPr>
              <w:t>(Instr. 4)</w:t>
            </w: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Number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0" w:type="dxa"/>
            <w:vAlign w:val="bottom"/>
            <w:gridSpan w:val="2"/>
          </w:tcPr>
          <w:p>
            <w:pPr>
              <w:ind w:left="240"/>
              <w:spacing w:after="0" w:line="135" w:lineRule="exact"/>
              <w:rPr>
                <w:sz w:val="20"/>
                <w:szCs w:val="20"/>
                <w:color w:val="auto"/>
              </w:rPr>
            </w:pPr>
            <w:r>
              <w:rPr>
                <w:rFonts w:ascii="Arial" w:cs="Arial" w:eastAsia="Arial" w:hAnsi="Arial"/>
                <w:sz w:val="12"/>
                <w:szCs w:val="12"/>
                <w:b w:val="1"/>
                <w:bCs w:val="1"/>
                <w:color w:val="auto"/>
              </w:rPr>
              <w:t>of</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240"/>
              <w:spacing w:after="0"/>
              <w:rPr>
                <w:sz w:val="20"/>
                <w:szCs w:val="20"/>
                <w:color w:val="auto"/>
              </w:rPr>
            </w:pPr>
            <w:r>
              <w:rPr>
                <w:rFonts w:ascii="Arial" w:cs="Arial" w:eastAsia="Arial" w:hAnsi="Arial"/>
                <w:sz w:val="12"/>
                <w:szCs w:val="12"/>
                <w:b w:val="1"/>
                <w:bCs w:val="1"/>
                <w:color w:val="auto"/>
              </w:rPr>
              <w:t>Shares</w:t>
            </w: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Non-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Qualified</w:t>
            </w:r>
          </w:p>
        </w:tc>
        <w:tc>
          <w:tcPr>
            <w:tcW w:w="82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20.365</w:t>
            </w:r>
          </w:p>
        </w:tc>
        <w:tc>
          <w:tcPr>
            <w:tcW w:w="1140" w:type="dxa"/>
            <w:vAlign w:val="bottom"/>
          </w:tcPr>
          <w:p>
            <w:pPr>
              <w:ind w:left="260"/>
              <w:spacing w:after="0"/>
              <w:rPr>
                <w:sz w:val="20"/>
                <w:szCs w:val="20"/>
                <w:color w:val="auto"/>
              </w:rPr>
            </w:pPr>
            <w:r>
              <w:rPr>
                <w:rFonts w:ascii="Arial" w:cs="Arial" w:eastAsia="Arial" w:hAnsi="Arial"/>
                <w:sz w:val="14"/>
                <w:szCs w:val="14"/>
                <w:color w:val="0000FF"/>
              </w:rPr>
              <w:t>08/25/2015</w:t>
            </w:r>
          </w:p>
        </w:tc>
        <w:tc>
          <w:tcPr>
            <w:tcW w:w="1140" w:type="dxa"/>
            <w:vAlign w:val="bottom"/>
          </w:tcPr>
          <w:p>
            <w:pPr>
              <w:spacing w:after="0"/>
              <w:rPr>
                <w:sz w:val="17"/>
                <w:szCs w:val="17"/>
                <w:color w:val="auto"/>
              </w:rPr>
            </w:pPr>
          </w:p>
        </w:tc>
        <w:tc>
          <w:tcPr>
            <w:tcW w:w="400" w:type="dxa"/>
            <w:vAlign w:val="bottom"/>
          </w:tcPr>
          <w:p>
            <w:pPr>
              <w:ind w:left="160"/>
              <w:spacing w:after="0"/>
              <w:rPr>
                <w:sz w:val="20"/>
                <w:szCs w:val="20"/>
                <w:color w:val="auto"/>
              </w:rPr>
            </w:pPr>
            <w:r>
              <w:rPr>
                <w:rFonts w:ascii="Arial" w:cs="Arial" w:eastAsia="Arial" w:hAnsi="Arial"/>
                <w:sz w:val="14"/>
                <w:szCs w:val="14"/>
                <w:color w:val="0000FF"/>
              </w:rPr>
              <w:t>M</w:t>
            </w:r>
          </w:p>
        </w:tc>
        <w:tc>
          <w:tcPr>
            <w:tcW w:w="440" w:type="dxa"/>
            <w:vAlign w:val="bottom"/>
          </w:tcPr>
          <w:p>
            <w:pPr>
              <w:spacing w:after="0"/>
              <w:rPr>
                <w:sz w:val="17"/>
                <w:szCs w:val="17"/>
                <w:color w:val="auto"/>
              </w:rPr>
            </w:pPr>
          </w:p>
        </w:tc>
        <w:tc>
          <w:tcPr>
            <w:tcW w:w="700" w:type="dxa"/>
            <w:vAlign w:val="bottom"/>
            <w:gridSpan w:val="2"/>
          </w:tcPr>
          <w:p>
            <w:pPr>
              <w:ind w:left="380"/>
              <w:spacing w:after="0"/>
              <w:rPr>
                <w:sz w:val="20"/>
                <w:szCs w:val="20"/>
                <w:color w:val="auto"/>
              </w:rPr>
            </w:pPr>
            <w:r>
              <w:rPr>
                <w:rFonts w:ascii="Arial" w:cs="Arial" w:eastAsia="Arial" w:hAnsi="Arial"/>
                <w:sz w:val="14"/>
                <w:szCs w:val="14"/>
                <w:color w:val="0000FF"/>
                <w:w w:val="85"/>
              </w:rPr>
              <w:t>3,000</w:t>
            </w:r>
          </w:p>
        </w:tc>
        <w:tc>
          <w:tcPr>
            <w:tcW w:w="820" w:type="dxa"/>
            <w:vAlign w:val="bottom"/>
          </w:tcPr>
          <w:p>
            <w:pPr>
              <w:ind w:left="400"/>
              <w:spacing w:after="0"/>
              <w:rPr>
                <w:sz w:val="20"/>
                <w:szCs w:val="20"/>
                <w:color w:val="auto"/>
              </w:rPr>
            </w:pPr>
            <w:r>
              <w:rPr>
                <w:rFonts w:ascii="Arial" w:cs="Arial" w:eastAsia="Arial" w:hAnsi="Arial"/>
                <w:sz w:val="11"/>
                <w:szCs w:val="11"/>
                <w:color w:val="008000"/>
              </w:rPr>
              <w:t>(4)</w:t>
            </w:r>
          </w:p>
        </w:tc>
        <w:tc>
          <w:tcPr>
            <w:tcW w:w="780" w:type="dxa"/>
            <w:vAlign w:val="bottom"/>
          </w:tcPr>
          <w:p>
            <w:pPr>
              <w:ind w:left="140"/>
              <w:spacing w:after="0"/>
              <w:rPr>
                <w:sz w:val="20"/>
                <w:szCs w:val="20"/>
                <w:color w:val="auto"/>
              </w:rPr>
            </w:pPr>
            <w:r>
              <w:rPr>
                <w:rFonts w:ascii="Arial" w:cs="Arial" w:eastAsia="Arial" w:hAnsi="Arial"/>
                <w:sz w:val="14"/>
                <w:szCs w:val="14"/>
                <w:color w:val="0000FF"/>
                <w:w w:val="88"/>
              </w:rPr>
              <w:t>12/01/2019</w:t>
            </w:r>
          </w:p>
        </w:tc>
        <w:tc>
          <w:tcPr>
            <w:tcW w:w="1320" w:type="dxa"/>
            <w:vAlign w:val="bottom"/>
            <w:gridSpan w:val="3"/>
          </w:tcPr>
          <w:p>
            <w:pPr>
              <w:ind w:left="120"/>
              <w:spacing w:after="0" w:line="200" w:lineRule="exact"/>
              <w:rPr>
                <w:sz w:val="20"/>
                <w:szCs w:val="20"/>
                <w:color w:val="auto"/>
              </w:rPr>
            </w:pPr>
            <w:r>
              <w:rPr>
                <w:rFonts w:ascii="Arial" w:cs="Arial" w:eastAsia="Arial" w:hAnsi="Arial"/>
                <w:sz w:val="11"/>
                <w:szCs w:val="11"/>
                <w:color w:val="0000FF"/>
              </w:rPr>
              <w:t xml:space="preserve">Common   </w:t>
            </w:r>
            <w:r>
              <w:rPr>
                <w:rFonts w:ascii="Arial" w:cs="Arial" w:eastAsia="Arial" w:hAnsi="Arial"/>
                <w:sz w:val="23"/>
                <w:szCs w:val="23"/>
                <w:color w:val="0000FF"/>
                <w:vertAlign w:val="subscript"/>
              </w:rPr>
              <w:t>3,000</w:t>
            </w:r>
          </w:p>
        </w:tc>
        <w:tc>
          <w:tcPr>
            <w:tcW w:w="760" w:type="dxa"/>
            <w:vAlign w:val="bottom"/>
          </w:tcPr>
          <w:p>
            <w:pPr>
              <w:ind w:left="2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00" w:type="dxa"/>
            <w:vAlign w:val="bottom"/>
            <w:gridSpan w:val="2"/>
          </w:tcPr>
          <w:p>
            <w:pPr>
              <w:ind w:left="280"/>
              <w:spacing w:after="0"/>
              <w:rPr>
                <w:sz w:val="20"/>
                <w:szCs w:val="20"/>
                <w:color w:val="auto"/>
              </w:rPr>
            </w:pPr>
            <w:r>
              <w:rPr>
                <w:rFonts w:ascii="Arial" w:cs="Arial" w:eastAsia="Arial" w:hAnsi="Arial"/>
                <w:sz w:val="14"/>
                <w:szCs w:val="14"/>
                <w:color w:val="0000FF"/>
              </w:rPr>
              <w:t>7,000</w:t>
            </w:r>
          </w:p>
        </w:tc>
        <w:tc>
          <w:tcPr>
            <w:tcW w:w="600" w:type="dxa"/>
            <w:vAlign w:val="bottom"/>
          </w:tcPr>
          <w:p>
            <w:pPr>
              <w:ind w:left="460"/>
              <w:spacing w:after="0"/>
              <w:rPr>
                <w:sz w:val="20"/>
                <w:szCs w:val="20"/>
                <w:color w:val="auto"/>
              </w:rPr>
            </w:pPr>
            <w:r>
              <w:rPr>
                <w:rFonts w:ascii="Arial" w:cs="Arial" w:eastAsia="Arial" w:hAnsi="Arial"/>
                <w:sz w:val="14"/>
                <w:szCs w:val="14"/>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10" w:lineRule="exact"/>
              <w:rPr>
                <w:sz w:val="20"/>
                <w:szCs w:val="20"/>
                <w:color w:val="auto"/>
              </w:rPr>
            </w:pPr>
            <w:r>
              <w:rPr>
                <w:rFonts w:ascii="Arial" w:cs="Arial" w:eastAsia="Arial" w:hAnsi="Arial"/>
                <w:sz w:val="12"/>
                <w:szCs w:val="12"/>
                <w:color w:val="0000FF"/>
              </w:rPr>
              <w:t>Stock</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ind w:left="200"/>
              <w:spacing w:after="0" w:line="110" w:lineRule="exact"/>
              <w:rPr>
                <w:sz w:val="20"/>
                <w:szCs w:val="20"/>
                <w:color w:val="auto"/>
              </w:rPr>
            </w:pPr>
            <w:r>
              <w:rPr>
                <w:rFonts w:ascii="Arial" w:cs="Arial" w:eastAsia="Arial" w:hAnsi="Arial"/>
                <w:sz w:val="12"/>
                <w:szCs w:val="12"/>
                <w:color w:val="0000FF"/>
                <w:w w:val="99"/>
              </w:rPr>
              <w:t>Stock</w:t>
            </w:r>
          </w:p>
        </w:tc>
        <w:tc>
          <w:tcPr>
            <w:tcW w:w="780" w:type="dxa"/>
            <w:vAlign w:val="bottom"/>
          </w:tcPr>
          <w:p>
            <w:pPr>
              <w:spacing w:after="0"/>
              <w:rPr>
                <w:sz w:val="9"/>
                <w:szCs w:val="9"/>
                <w:color w:val="auto"/>
              </w:rPr>
            </w:pPr>
          </w:p>
        </w:tc>
        <w:tc>
          <w:tcPr>
            <w:tcW w:w="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Option</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of common stock were sold in multiple transactions at prices ranging from $68.74 to $68.87,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30" w:lineRule="exact"/>
        <w:rPr>
          <w:rFonts w:ascii="Arial" w:cs="Arial" w:eastAsia="Arial" w:hAnsi="Arial"/>
          <w:sz w:val="14"/>
          <w:szCs w:val="14"/>
          <w:color w:val="008000"/>
        </w:rPr>
      </w:pPr>
    </w:p>
    <w:p>
      <w:pPr>
        <w:ind w:left="40" w:right="4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0.387 net shares acquired by the reporting person since the date of his last report under the dividend reinvestment feature of The Toro Company Investment, Savings &amp; ESOP less quarterly non-discretionary administrative fees.</w:t>
      </w:r>
    </w:p>
    <w:p>
      <w:pPr>
        <w:spacing w:after="0" w:line="30" w:lineRule="exact"/>
        <w:rPr>
          <w:rFonts w:ascii="Arial" w:cs="Arial" w:eastAsia="Arial" w:hAnsi="Arial"/>
          <w:sz w:val="14"/>
          <w:szCs w:val="14"/>
          <w:color w:val="008000"/>
        </w:rPr>
      </w:pPr>
    </w:p>
    <w:p>
      <w:pPr>
        <w:ind w:left="40" w:right="4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52.953 performance share units acquired by the reporting person since the date of his last report under the dividend reinvestment feature of The Toro Company Deferred Compensation Plan for Officers.</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option vested in three equal annual installments commencing on the first anniversary of the date of grant, which was December 1, 2009.</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Nancy A. McGrath,</w:t>
            </w:r>
          </w:p>
        </w:tc>
        <w:tc>
          <w:tcPr>
            <w:tcW w:w="500" w:type="dxa"/>
            <w:vAlign w:val="bottom"/>
          </w:tcPr>
          <w:p>
            <w:pPr>
              <w:spacing w:after="0"/>
              <w:rPr>
                <w:sz w:val="18"/>
                <w:szCs w:val="18"/>
                <w:color w:val="auto"/>
              </w:rPr>
            </w:pPr>
          </w:p>
        </w:tc>
        <w:tc>
          <w:tcPr>
            <w:tcW w:w="980" w:type="dxa"/>
            <w:vAlign w:val="bottom"/>
            <w:gridSpan w:val="2"/>
            <w:vMerge w:val="restart"/>
          </w:tcPr>
          <w:p>
            <w:pPr>
              <w:ind w:left="180"/>
              <w:spacing w:after="0"/>
              <w:rPr>
                <w:sz w:val="20"/>
                <w:szCs w:val="20"/>
                <w:color w:val="auto"/>
              </w:rPr>
            </w:pPr>
            <w:r>
              <w:rPr>
                <w:rFonts w:ascii="Arial" w:cs="Arial" w:eastAsia="Arial" w:hAnsi="Arial"/>
                <w:sz w:val="18"/>
                <w:szCs w:val="18"/>
                <w:color w:val="0000FF"/>
                <w:w w:val="86"/>
              </w:rPr>
              <w:t>08/27/2015</w:t>
            </w:r>
          </w:p>
        </w:tc>
        <w:tc>
          <w:tcPr>
            <w:tcW w:w="0" w:type="dxa"/>
            <w:vAlign w:val="bottom"/>
          </w:tcPr>
          <w:p>
            <w:pPr>
              <w:spacing w:after="0"/>
              <w:rPr>
                <w:sz w:val="1"/>
                <w:szCs w:val="1"/>
                <w:color w:val="auto"/>
              </w:rPr>
            </w:pPr>
          </w:p>
        </w:tc>
      </w:tr>
      <w:tr>
        <w:trPr>
          <w:trHeight w:val="88"/>
        </w:trPr>
        <w:tc>
          <w:tcPr>
            <w:tcW w:w="1200" w:type="dxa"/>
            <w:vAlign w:val="bottom"/>
            <w:vMerge w:val="restart"/>
          </w:tcPr>
          <w:p>
            <w:pPr>
              <w:spacing w:after="0" w:line="196" w:lineRule="exact"/>
              <w:rPr>
                <w:sz w:val="20"/>
                <w:szCs w:val="20"/>
                <w:color w:val="auto"/>
              </w:rPr>
            </w:pPr>
            <w:r>
              <w:rPr>
                <w:rFonts w:ascii="Arial" w:cs="Arial" w:eastAsia="Arial" w:hAnsi="Arial"/>
                <w:sz w:val="18"/>
                <w:szCs w:val="18"/>
                <w:color w:val="0000FF"/>
                <w:w w:val="91"/>
              </w:rPr>
              <w:t>Attorney-In-Fact</w:t>
            </w:r>
          </w:p>
        </w:tc>
        <w:tc>
          <w:tcPr>
            <w:tcW w:w="920" w:type="dxa"/>
            <w:vAlign w:val="bottom"/>
            <w:gridSpan w:val="2"/>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00" w:type="dxa"/>
            <w:vAlign w:val="bottom"/>
            <w:tcBorders>
              <w:bottom w:val="single" w:sz="8" w:color="auto"/>
            </w:tcBorders>
            <w:vMerge w:val="continue"/>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9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5088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2019-12-23T20:51:56Z</dcterms:created>
  <dcterms:modified xsi:type="dcterms:W3CDTF">2019-12-23T20:51:56Z</dcterms:modified>
</cp:coreProperties>
</file>