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3"/>
        <w:spacing w:after="0"/>
        <w:rPr>
          <w:sz w:val="20"/>
          <w:szCs w:val="20"/>
          <w:color w:val="auto"/>
        </w:rPr>
      </w:pPr>
      <w:r>
        <w:rPr>
          <w:rFonts w:ascii="Arial" w:cs="Arial" w:eastAsia="Arial" w:hAnsi="Arial"/>
          <w:sz w:val="18"/>
          <w:szCs w:val="18"/>
          <w:color w:val="0000FF"/>
        </w:rPr>
        <w:t>VP, Treasurer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12/28/2012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20.365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16,713.836</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12/28/2012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ind w:left="200"/>
              <w:spacing w:after="0"/>
              <w:rPr>
                <w:sz w:val="20"/>
                <w:szCs w:val="20"/>
                <w:color w:val="auto"/>
              </w:rPr>
            </w:pPr>
            <w:r>
              <w:rPr>
                <w:rFonts w:ascii="Arial" w:cs="Arial" w:eastAsia="Arial" w:hAnsi="Arial"/>
                <w:sz w:val="18"/>
                <w:szCs w:val="18"/>
                <w:color w:val="0000FF"/>
              </w:rPr>
              <w:t>2,614</w:t>
            </w:r>
          </w:p>
        </w:tc>
        <w:tc>
          <w:tcPr>
            <w:tcW w:w="6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42.007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14,099.836</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3,346.004</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2,006.547</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0"/>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ind w:left="260"/>
              <w:spacing w:after="0"/>
              <w:rPr>
                <w:sz w:val="20"/>
                <w:szCs w:val="20"/>
                <w:color w:val="auto"/>
              </w:rPr>
            </w:pPr>
            <w:r>
              <w:rPr>
                <w:rFonts w:ascii="Arial" w:cs="Arial" w:eastAsia="Arial" w:hAnsi="Arial"/>
                <w:sz w:val="14"/>
                <w:szCs w:val="14"/>
                <w:color w:val="0000FF"/>
              </w:rPr>
              <w:t>12/28/2012</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0000FF"/>
              </w:rPr>
              <w:t>4,000</w:t>
            </w:r>
          </w:p>
        </w:tc>
        <w:tc>
          <w:tcPr>
            <w:tcW w:w="800" w:type="dxa"/>
            <w:vAlign w:val="bottom"/>
          </w:tcPr>
          <w:p>
            <w:pPr>
              <w:ind w:left="80"/>
              <w:spacing w:after="0"/>
              <w:rPr>
                <w:sz w:val="20"/>
                <w:szCs w:val="20"/>
                <w:color w:val="auto"/>
              </w:rPr>
            </w:pPr>
            <w:r>
              <w:rPr>
                <w:rFonts w:ascii="Arial" w:cs="Arial" w:eastAsia="Arial" w:hAnsi="Arial"/>
                <w:sz w:val="14"/>
                <w:szCs w:val="14"/>
                <w:color w:val="0000FF"/>
                <w:w w:val="99"/>
              </w:rPr>
              <w:t>12/01/2010</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12/01/2019</w:t>
            </w: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ind w:left="160"/>
              <w:spacing w:after="0" w:line="200" w:lineRule="exact"/>
              <w:rPr>
                <w:sz w:val="20"/>
                <w:szCs w:val="20"/>
                <w:color w:val="auto"/>
              </w:rPr>
            </w:pPr>
            <w:r>
              <w:rPr>
                <w:rFonts w:ascii="Arial" w:cs="Arial" w:eastAsia="Arial" w:hAnsi="Arial"/>
                <w:sz w:val="18"/>
                <w:szCs w:val="18"/>
                <w:color w:val="0000FF"/>
              </w:rPr>
              <w:t>4,000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4,000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13.296 shares of common stock acquired by the reporting person since the date of his last report under The Toro Company Dividend Reinvestment Plan (the "DRIP") on 4,078.275 shares of restricted stock and related DRIP shares. The restricted stock and all related DRIP shares vest in full on the third anniversary of the date of grant, which was March 30, 2011. Also includes 10.26 shares of common stock acquired by the reporting person under the DRIP on shares not subject to restriction since the date of his last report.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10.906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6.547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2019-12-17T01:44:28Z</dcterms:created>
  <dcterms:modified xsi:type="dcterms:W3CDTF">2019-12-17T01:44:28Z</dcterms:modified>
</cp:coreProperties>
</file>