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28"/>
          <w:szCs w:val="28"/>
          <w:b w:val="1"/>
          <w:bCs w:val="1"/>
          <w:color w:val="auto"/>
        </w:rPr>
        <w:t>Securities and Exchange Commission</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SD</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SPECIALIZED DISCLOSURE REPORT</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57"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57" w:orient="portrait"/>
          <w:cols w:equalWidth="0" w:num="3">
            <w:col w:w="4520" w:space="720"/>
            <w:col w:w="2960" w:space="720"/>
            <w:col w:w="2540"/>
          </w:cols>
          <w:pgMar w:left="240" w:top="544" w:right="199" w:bottom="0" w:gutter="0" w:footer="0" w:header="0"/>
          <w:type w:val="continuous"/>
        </w:sectPr>
      </w:pPr>
    </w:p>
    <w:p>
      <w:pPr>
        <w:spacing w:after="0" w:line="18"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8111 Lyndale Ave S. Bloomington, 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55420</w:t>
      </w:r>
    </w:p>
    <w:p>
      <w:pPr>
        <w:spacing w:after="0" w:line="61" w:lineRule="exact"/>
        <w:rPr>
          <w:sz w:val="24"/>
          <w:szCs w:val="24"/>
          <w:color w:val="auto"/>
        </w:rPr>
      </w:pPr>
    </w:p>
    <w:p>
      <w:pPr>
        <w:sectPr>
          <w:pgSz w:w="11900" w:h="16857" w:orient="portrait"/>
          <w:cols w:equalWidth="0" w:num="2">
            <w:col w:w="7680" w:space="720"/>
            <w:col w:w="3060"/>
          </w:cols>
          <w:pgMar w:left="240" w:top="544" w:right="199" w:bottom="0" w:gutter="0" w:footer="0" w:header="0"/>
          <w:type w:val="continuous"/>
        </w:sect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57"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Colleen Hart (952) 888-8801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and telephone number, including area code</w:t>
      </w:r>
      <w:r>
        <w:rPr>
          <w:rFonts w:ascii="Arial" w:cs="Arial" w:eastAsia="Arial" w:hAnsi="Arial"/>
          <w:sz w:val="17"/>
          <w:szCs w:val="17"/>
          <w:color w:val="auto"/>
        </w:rPr>
        <w: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of the person to contact in connection with this report.)</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As required by Rule 13p-1 under the Securities Exchange Act of 1934, as amended, and Form SD, a Conflict Minerals Report is provided as an Exhibit to this Form SD and is available at https://www.toro.com/en/about/corporate-responsibility/product-safety-sustainability/conflict-minerals . The information contained on our websites or connected to our websites is not incorporated by reference into this Form SD or our Conflict Minerals Report and should not be considered part of this Form SD or the Conflict Minerals Report.</w:t>
      </w:r>
    </w:p>
    <w:p>
      <w:pPr>
        <w:spacing w:after="0" w:line="18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4"/>
          <w:szCs w:val="24"/>
          <w:color w:val="auto"/>
        </w:rPr>
      </w:pPr>
    </w:p>
    <w:p>
      <w:pPr>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Exhibit 1.01 — Conflict Minerals Report as required by Items 1.01 and 1.02 of this Form</w:t>
        </w:r>
      </w:hyperlink>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31, 2016</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Timothy P. Dordell</w:t>
            </w:r>
          </w:p>
        </w:tc>
        <w:tc>
          <w:tcPr>
            <w:tcW w:w="40" w:type="dxa"/>
            <w:vAlign w:val="bottom"/>
          </w:tcPr>
          <w:p>
            <w:pPr>
              <w:spacing w:after="0"/>
              <w:rPr>
                <w:sz w:val="24"/>
                <w:szCs w:val="24"/>
                <w:color w:val="auto"/>
              </w:rPr>
            </w:pPr>
          </w:p>
        </w:tc>
      </w:tr>
      <w:tr>
        <w:trPr>
          <w:trHeight w:val="20"/>
        </w:trPr>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560" w:type="dxa"/>
            <w:vAlign w:val="bottom"/>
          </w:tcPr>
          <w:p>
            <w:pPr>
              <w:spacing w:after="0"/>
              <w:rPr>
                <w:sz w:val="15"/>
                <w:szCs w:val="15"/>
                <w:color w:val="auto"/>
              </w:rPr>
            </w:pPr>
          </w:p>
        </w:tc>
        <w:tc>
          <w:tcPr>
            <w:tcW w:w="7860" w:type="dxa"/>
            <w:vAlign w:val="bottom"/>
            <w:gridSpan w:val="2"/>
          </w:tcPr>
          <w:p>
            <w:pPr>
              <w:ind w:left="2160"/>
              <w:spacing w:after="0" w:line="182" w:lineRule="exact"/>
              <w:rPr>
                <w:sz w:val="20"/>
                <w:szCs w:val="20"/>
                <w:color w:val="auto"/>
              </w:rPr>
            </w:pPr>
            <w:r>
              <w:rPr>
                <w:rFonts w:ascii="Arial" w:cs="Arial" w:eastAsia="Arial" w:hAnsi="Arial"/>
                <w:sz w:val="18"/>
                <w:szCs w:val="18"/>
                <w:color w:val="auto"/>
              </w:rPr>
              <w:t>Timothy P. Dordell</w:t>
            </w:r>
          </w:p>
        </w:tc>
        <w:tc>
          <w:tcPr>
            <w:tcW w:w="40" w:type="dxa"/>
            <w:vAlign w:val="bottom"/>
          </w:tcPr>
          <w:p>
            <w:pPr>
              <w:spacing w:after="0"/>
              <w:rPr>
                <w:sz w:val="15"/>
                <w:szCs w:val="15"/>
                <w:color w:val="auto"/>
              </w:rPr>
            </w:pP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Vice President, Secretary and General Counsel</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540" w:type="dxa"/>
            <w:vAlign w:val="bottom"/>
          </w:tcPr>
          <w:p>
            <w:pPr>
              <w:ind w:left="2100"/>
              <w:spacing w:after="0"/>
              <w:rPr>
                <w:sz w:val="20"/>
                <w:szCs w:val="20"/>
                <w:color w:val="auto"/>
              </w:rPr>
            </w:pPr>
            <w:r>
              <w:rPr>
                <w:rFonts w:ascii="Arial" w:cs="Arial" w:eastAsia="Arial" w:hAnsi="Arial"/>
                <w:sz w:val="18"/>
                <w:szCs w:val="18"/>
                <w:color w:val="auto"/>
              </w:rPr>
              <w:t>3</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356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5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jc w:val="right"/>
              <w:ind w:right="4528"/>
              <w:spacing w:after="0"/>
              <w:rPr>
                <w:sz w:val="20"/>
                <w:szCs w:val="20"/>
                <w:color w:val="auto"/>
              </w:rPr>
            </w:pPr>
            <w:r>
              <w:rPr>
                <w:rFonts w:ascii="Arial" w:cs="Arial" w:eastAsia="Arial" w:hAnsi="Arial"/>
                <w:sz w:val="18"/>
                <w:szCs w:val="18"/>
                <w:color w:val="auto"/>
                <w:w w:val="96"/>
              </w:rPr>
              <w:t>Conflict Minerals Report for the calendar year ended December 31, 2015.</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Toro Company (“Toro”) has included this Conflict Minerals Report as an exhibit to its Form SD as required by Rule 13p-1 under the Securities Exchange Act of 1934, as amended, and Form SD (the “Conflict Minerals Rule”).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Toro followed the criteria set forth in the Organisation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167" w:lineRule="exact"/>
        <w:rPr>
          <w:sz w:val="20"/>
          <w:szCs w:val="20"/>
          <w:color w:val="auto"/>
        </w:rPr>
      </w:pPr>
    </w:p>
    <w:p>
      <w:pPr>
        <w:jc w:val="right"/>
        <w:ind w:left="980" w:right="8240" w:hanging="972"/>
        <w:spacing w:after="0" w:line="566" w:lineRule="auto"/>
        <w:tabs>
          <w:tab w:leader="none" w:pos="66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Company Management Systems A.  Conflict Minerals Policy</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Toro has a Conflict Minerals Policy that is communicated to our direct suppliers and available under the Product Safety and Sustainability page of our website at https://www.toro.com/~/media/Files/Toro/Pages/about/conflict-materials-policy.ashx?la=en .</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Our policy confirms that Toro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Toro does not seek to embargo the sourcing of 3TG from the Democratic Republic of the Congo (“DRC”) region, nor does it expect its suppliers to do so.</w:t>
      </w:r>
    </w:p>
    <w:p>
      <w:pPr>
        <w:spacing w:after="0" w:line="244"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Internal Management Team</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Toro created a team of senior staff under the Vice President, Treasurer and Chief Financial Officer, Vice President of Global Operations, and Vice President, Secretary and General Counsel responsible for oversight of Toro’s Conflict Minerals compliance strategy. The following functional areas were represented on the working group: Finance, Legal, Information Services and Sourcing. Relevant internal personnel was educated on the Conflict Minerals Rule, the OECD Guidance, Toro’s compliance plan and reviewing and validating supplier responses to Toro inquiries.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221"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Control Systems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Toro is a member of the Conflict-Free Sourcing Initiative (“CFSI”) and participates in the National Association of Manufacturers Conflict Minerals Working Group, Twin Cities Conflict Minerals Task Force, and Manufacturers Alliance for Productivity and Innovation (“MAPI”) Conflict Minerals Forum.</w:t>
      </w:r>
    </w:p>
    <w:p>
      <w:pPr>
        <w:spacing w:after="0" w:line="120"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Supplier Engagement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Toro’s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CFSI and a link to the related training materials. Toro utilized the CMRTs returned to us by our suppliers to identify smelters and refiners in our supply chain.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Records Management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Toro maintains records relating to Conflict Minerals due diligence, including records of due diligence processes, findings and resulting decisions, per Toro’s applicable record retention policies, which provides for retention of at least five years.</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Grievance Mechanism</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Toro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https://www.toro.com/~/media/Files/Toro/Pages/about/conflict-materials-policy.ashx?la=en .</w:t>
      </w:r>
    </w:p>
    <w:p>
      <w:pPr>
        <w:spacing w:after="0" w:line="17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G.  Carry Out Independent Third-Party Audit of Supply Chain Due Diligence at Identified Points in the Supply Chain</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connection with its due diligence, Toro utilized information made available to CFSI members concerning independent third-party audits of smelters and refiners. Toro supports the development and implementation of independent third-party audits of smelters and refiners through its membership in the CFSI.</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H.  Report on Supply Chain Due Diligence</w:t>
      </w:r>
    </w:p>
    <w:p>
      <w:pPr>
        <w:spacing w:after="0" w:line="229"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 xml:space="preserve">Toro filed a Form SD and this Conflict Minerals Report with the Securities and Exchange Commission and the filing is </w:t>
      </w:r>
      <w:r>
        <w:rPr>
          <w:rFonts w:ascii="Arial" w:cs="Arial" w:eastAsia="Arial" w:hAnsi="Arial"/>
          <w:sz w:val="16"/>
          <w:szCs w:val="16"/>
          <w:color w:val="auto"/>
        </w:rPr>
        <w:t>available under the Product Safety and</w:t>
      </w:r>
      <w:r>
        <w:rPr>
          <w:rFonts w:ascii="Arial" w:cs="Arial" w:eastAsia="Arial" w:hAnsi="Arial"/>
          <w:sz w:val="17"/>
          <w:szCs w:val="17"/>
          <w:color w:val="auto"/>
        </w:rPr>
        <w:t xml:space="preserve"> </w:t>
      </w:r>
      <w:r>
        <w:rPr>
          <w:rFonts w:ascii="Arial" w:cs="Arial" w:eastAsia="Arial" w:hAnsi="Arial"/>
          <w:sz w:val="16"/>
          <w:szCs w:val="16"/>
          <w:color w:val="auto"/>
        </w:rPr>
        <w:t>Sustainability page of our website https://www.toro.com/en/about/corporate-responsibility/product-safety-sustainability/conflict-minerals .</w:t>
      </w:r>
    </w:p>
    <w:p>
      <w:pPr>
        <w:spacing w:after="0" w:line="14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ectPr>
          <w:pgSz w:w="11900" w:h="16838" w:orient="portrait"/>
          <w:cols w:equalWidth="0" w:num="1">
            <w:col w:w="11420"/>
          </w:cols>
          <w:pgMar w:left="240" w:top="121" w:right="239" w:bottom="0" w:gutter="0" w:footer="0" w:header="0"/>
        </w:sectPr>
      </w:pPr>
    </w:p>
    <w:bookmarkStart w:id="3" w:name="page4"/>
    <w:bookmarkEnd w:id="3"/>
    <w:p>
      <w:pPr>
        <w:ind w:left="980"/>
        <w:spacing w:after="0"/>
        <w:tabs>
          <w:tab w:leader="none" w:pos="1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In-Scope Suppliers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Toro personnel determined which of its products were in-scope for purposes of the Conflict Minerals Rule through product specifications, bills of material, supplier inquiries and other information known to Toro. We determined which suppliers were “high-risk” based on the likelihood of suppliers’ components containing 3TG and based on the suppliers’ relationship status with Toro.</w:t>
      </w:r>
    </w:p>
    <w:p>
      <w:pPr>
        <w:spacing w:after="0" w:line="17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Request for Information</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Toro utilized the CMRT developed by the CFSI to identify smelters and refiners in its supply chain. We distributed the CMRT to our in-scope suppliers by email. In the communication accompanying the CMRT, Toro communicated its expectations that the CMRT be completed and returned to Toro for review. We followed up by email or phone with suppliers that Toro deemed “high-risk” who did not submit a CMRT within the specified timeframe.</w:t>
      </w:r>
    </w:p>
    <w:p>
      <w:pPr>
        <w:spacing w:after="0" w:line="143"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Survey Responses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Toro personnel reviewed the completed CMRTs and other responses received from suppliers. We followed up by email or phone with Toro’s “high risk” suppliers that did not fully complete the CMRT or provided a non-conforming written response, requesting them to submit a revised CMRT.</w:t>
      </w:r>
    </w:p>
    <w:p>
      <w:pPr>
        <w:spacing w:after="0" w:line="143"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Risk Assessment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 information furnished by our suppliers and other information known to Toro, we assessed the risks of adverse impacts. To the extent that a completed CMRT contained smelter or refiner information, Toro reviewed this information against an internally developed “red flags” list and the list of eligible smelters and refiners contained in the CFSI member smelter database. To the extent that an eligible smelter or refiner identified by a supplier was not certified as compliant or active by the CFSI, Toro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Toro’s products, did not identify a smelter or refiner or an eligible smelter or refiner was not certified as compliant or active by the CFSI, the origin of the applicable 3TG contained in the products covered by the response was treated as “unknown origin.”</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Toro’s Conflict Minerals Compliance Team reported the findings of its supply chain risk assessment to Toro’s Vice President, Treasurer and Chief Financial Officer, Vice President of Global Operations, and Vice President, Secretary and General Counsel.</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Toro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Design of Due Diligence Framework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Toro followed the criteria set forth in the OECD Guidance to conduct its due diligence measures relating to 3TG.</w:t>
      </w:r>
    </w:p>
    <w:p>
      <w:pPr>
        <w:spacing w:after="0" w:line="221"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22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The due diligence measures performed by Toro include comparing the smelter and refiner information received from our suppliers against the smelter database information available to CFSI members to identify the audit status of smelters and refiners and the countries of origin of the 3TG sourced by compliant smelters and refiners.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Product Status and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2016, Toro has concluded that all of the Toro in-scope products in the categories indicated below contained 3TG of unknown origin:</w:t>
      </w:r>
    </w:p>
    <w:p>
      <w:pPr>
        <w:spacing w:after="0" w:line="22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Identified Smelters and Refiners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2015. However, as part of our reasonable country of origin inquiry, some of our suppliers identified to us smelters and refiners that may have processed the necessary 3TG contained in the in-scope products that we manufactured in 2015,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37" w:right="27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Smelter and Refiner and Country of Origin Information(1)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Compliant</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Non-DRC</w:t>
            </w:r>
          </w:p>
        </w:tc>
        <w:tc>
          <w:tcPr>
            <w:tcW w:w="17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5"/>
              </w:rPr>
              <w:t>DRC Region</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Region</w:t>
            </w:r>
          </w:p>
        </w:tc>
        <w:tc>
          <w:tcPr>
            <w:tcW w:w="1720" w:type="dxa"/>
            <w:vAlign w:val="bottom"/>
            <w:gridSpan w:val="3"/>
            <w:vMerge w:val="continue"/>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R/S</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 Disclosed</w:t>
            </w: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Active</w:t>
            </w: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Sourced</w:t>
            </w:r>
          </w:p>
        </w:tc>
        <w:tc>
          <w:tcPr>
            <w:tcW w:w="17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Sourced</w:t>
            </w:r>
          </w:p>
        </w:tc>
        <w:tc>
          <w:tcPr>
            <w:tcW w:w="10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Tantalum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Tungsten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note the following in connection with the information contained in the foregoing table:</w:t>
      </w:r>
    </w:p>
    <w:p>
      <w:pPr>
        <w:spacing w:after="0" w:line="225" w:lineRule="exact"/>
        <w:rPr>
          <w:rFonts w:ascii="Arial" w:cs="Arial" w:eastAsia="Arial" w:hAnsi="Arial"/>
          <w:sz w:val="18"/>
          <w:szCs w:val="18"/>
          <w:color w:val="auto"/>
        </w:rPr>
      </w:pPr>
    </w:p>
    <w:p>
      <w:pPr>
        <w:ind w:left="660" w:right="60" w:hanging="328"/>
        <w:spacing w:after="0" w:line="291" w:lineRule="auto"/>
        <w:tabs>
          <w:tab w:leader="none" w:pos="65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May 6, 2016.</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71"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“Compliant” means that a smelter or refiner was audited and found compliant with the Conflict-Free Smelter Program’s (“CFSP”) assessment protocols.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“Active” means that a smelter or refiner is engaged in the CFSP but has not yet been found to be compliant.</w:t>
      </w:r>
    </w:p>
    <w:p>
      <w:pPr>
        <w:spacing w:after="0" w:line="225" w:lineRule="exact"/>
        <w:rPr>
          <w:rFonts w:ascii="Arial" w:cs="Arial" w:eastAsia="Arial" w:hAnsi="Arial"/>
          <w:sz w:val="18"/>
          <w:szCs w:val="18"/>
          <w:color w:val="auto"/>
        </w:rPr>
      </w:pPr>
    </w:p>
    <w:p>
      <w:pPr>
        <w:ind w:left="660" w:right="300" w:hanging="328"/>
        <w:spacing w:after="0" w:line="264" w:lineRule="auto"/>
        <w:tabs>
          <w:tab w:leader="none" w:pos="671"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includes those “Eligible,” “Alleged,” and “Group Company” smelters or refiners with an audit status other than Compliant or Active, including “In Communication,” “Outreach Required,” “TI-CMC Member Company” and “Not Applicable.” Toro, through its membership in the CFSI, supports efforts to bring these smelters or refiners into the CFSP audit program.</w:t>
      </w:r>
    </w:p>
    <w:p>
      <w:pPr>
        <w:spacing w:after="0" w:line="181" w:lineRule="exact"/>
        <w:rPr>
          <w:rFonts w:ascii="Arial" w:cs="Arial" w:eastAsia="Arial" w:hAnsi="Arial"/>
          <w:sz w:val="18"/>
          <w:szCs w:val="18"/>
          <w:color w:val="auto"/>
        </w:rPr>
      </w:pPr>
    </w:p>
    <w:p>
      <w:pPr>
        <w:ind w:left="660" w:right="40" w:hanging="328"/>
        <w:spacing w:after="0" w:line="276" w:lineRule="auto"/>
        <w:tabs>
          <w:tab w:leader="none" w:pos="664" w:val="left"/>
        </w:tabs>
        <w:numPr>
          <w:ilvl w:val="1"/>
          <w:numId w:val="7"/>
        </w:numPr>
        <w:rPr>
          <w:rFonts w:ascii="Arial" w:cs="Arial" w:eastAsia="Arial" w:hAnsi="Arial"/>
          <w:sz w:val="17"/>
          <w:szCs w:val="17"/>
          <w:color w:val="auto"/>
        </w:rPr>
      </w:pPr>
      <w:r>
        <w:rPr>
          <w:rFonts w:ascii="Arial" w:cs="Arial" w:eastAsia="Arial" w:hAnsi="Arial"/>
          <w:sz w:val="17"/>
          <w:szCs w:val="17"/>
          <w:color w:val="auto"/>
        </w:rPr>
        <w:t>“DRC Region” means the DRC and its nine adjoining countries. Origin information was derived from information made available by the CFSI to its members. According to this information, some of the Compliant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172" w:lineRule="exact"/>
        <w:rPr>
          <w:rFonts w:ascii="Arial" w:cs="Arial" w:eastAsia="Arial" w:hAnsi="Arial"/>
          <w:sz w:val="17"/>
          <w:szCs w:val="17"/>
          <w:color w:val="auto"/>
        </w:rPr>
      </w:pPr>
    </w:p>
    <w:p>
      <w:pPr>
        <w:ind w:left="680" w:hanging="348"/>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7"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smelter or refiner is indicated as “Compliant/Not Disclosed” if the country of origin of the 3TG processed by the smelter or refiner was not disclosed by the certifying party.</w:t>
      </w:r>
    </w:p>
    <w:p>
      <w:pPr>
        <w:spacing w:after="0" w:line="170" w:lineRule="exact"/>
        <w:rPr>
          <w:rFonts w:ascii="Arial" w:cs="Arial" w:eastAsia="Arial" w:hAnsi="Arial"/>
          <w:sz w:val="18"/>
          <w:szCs w:val="18"/>
          <w:color w:val="auto"/>
        </w:rPr>
      </w:pPr>
    </w:p>
    <w:p>
      <w:pPr>
        <w:ind w:left="660" w:right="820" w:hanging="328"/>
        <w:spacing w:after="0" w:line="277" w:lineRule="auto"/>
        <w:tabs>
          <w:tab w:leader="none" w:pos="681"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CFSI to its members, without independent verification by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We were not able to determine the country of origin of the 3TG processed by any of the smelters or refiners listed as “Active” or “Other.”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lvl w:ilvl="1">
      <w:lvlJc w:val="left"/>
      <w:lvlText w:val="%2"/>
      <w:numFmt w:val="upperLetter"/>
      <w:start w:val="1"/>
    </w:lvl>
  </w:abstractNum>
  <w:abstractNum w:abstractNumId="3">
    <w:nsid w:val="3D1B58BA"/>
    <w:multiLevelType w:val="hybridMultilevel"/>
    <w:lvl w:ilvl="0">
      <w:lvlJc w:val="left"/>
      <w:lvlText w:val="%1."/>
      <w:numFmt w:val="upperLetter"/>
      <w:start w:val="61"/>
    </w:lvl>
  </w:abstractNum>
  <w:abstractNum w:abstractNumId="4">
    <w:nsid w:val="507ED7AB"/>
    <w:multiLevelType w:val="hybridMultilevel"/>
    <w:lvl w:ilvl="0">
      <w:lvlJc w:val="left"/>
      <w:lvlText w:val="%1."/>
      <w:numFmt w:val="upperLetter"/>
      <w:start w:val="2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3" Type="http://schemas.openxmlformats.org/officeDocument/2006/relationships/hyperlink" Target="file:///data/convert/a16-12208_1ex1d01.htm#Exhibit1_01_1229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2019-12-05T16:20:40Z</dcterms:created>
  <dcterms:modified xsi:type="dcterms:W3CDTF">2019-12-05T16:20:40Z</dcterms:modified>
</cp:coreProperties>
</file>