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043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4380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STEINHAFEL GREGG W</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11/03/2014</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536" w:val="left"/>
          <w:tab w:leader="none" w:pos="21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2"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6"/>
        <w:spacing w:after="0"/>
        <w:tabs>
          <w:tab w:leader="none" w:pos="21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2" w:lineRule="exact"/>
        <w:rPr>
          <w:sz w:val="24"/>
          <w:szCs w:val="24"/>
          <w:color w:val="auto"/>
        </w:rPr>
      </w:pPr>
    </w:p>
    <w:p>
      <w:pPr>
        <w:sectPr>
          <w:pgSz w:w="11900" w:h="16838" w:orient="portrait"/>
          <w:cols w:equalWidth="0" w:num="3">
            <w:col w:w="3340" w:space="720"/>
            <w:col w:w="3264" w:space="720"/>
            <w:col w:w="3476"/>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jc w:val="right"/>
              <w:ind w:right="283"/>
              <w:spacing w:after="0"/>
              <w:rPr>
                <w:sz w:val="20"/>
                <w:szCs w:val="20"/>
                <w:color w:val="auto"/>
              </w:rPr>
            </w:pPr>
            <w:r>
              <w:rPr>
                <w:rFonts w:ascii="Arial" w:cs="Arial" w:eastAsia="Arial" w:hAnsi="Arial"/>
                <w:sz w:val="17"/>
                <w:szCs w:val="17"/>
                <w:color w:val="0000FF"/>
              </w:rPr>
              <w:t>55420-1196</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860"/>
              <w:spacing w:after="0" w:line="131"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6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Transaction  Disposed Of (D) (Instr. 3, 4 and</w:t>
            </w: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40" w:type="dxa"/>
            <w:vAlign w:val="bottom"/>
            <w:gridSpan w:val="2"/>
          </w:tcPr>
          <w:p>
            <w:pPr>
              <w:ind w:left="86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97"/>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11/03/2014</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86"/>
              </w:rPr>
              <w:t>835</w:t>
            </w:r>
            <w:r>
              <w:rPr>
                <w:rFonts w:ascii="Arial" w:cs="Arial" w:eastAsia="Arial" w:hAnsi="Arial"/>
                <w:sz w:val="22"/>
                <w:szCs w:val="22"/>
                <w:color w:val="008000"/>
                <w:w w:val="86"/>
                <w:vertAlign w:val="superscript"/>
              </w:rPr>
              <w:t>(1)</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3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13,571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3"/>
              </w:rPr>
              <w:t>Common Stock Units</w:t>
            </w:r>
          </w:p>
        </w:tc>
        <w:tc>
          <w:tcPr>
            <w:tcW w:w="10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ind w:right="139"/>
              <w:spacing w:after="0"/>
              <w:rPr>
                <w:sz w:val="20"/>
                <w:szCs w:val="20"/>
                <w:color w:val="auto"/>
              </w:rPr>
            </w:pPr>
            <w:r>
              <w:rPr>
                <w:rFonts w:ascii="Arial" w:cs="Arial" w:eastAsia="Arial" w:hAnsi="Arial"/>
                <w:sz w:val="17"/>
                <w:szCs w:val="17"/>
                <w:color w:val="0000FF"/>
              </w:rPr>
              <w:t>2,664.569</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00" w:type="dxa"/>
            <w:vAlign w:val="bottom"/>
            <w:gridSpan w:val="9"/>
          </w:tcPr>
          <w:p>
            <w:pPr>
              <w:jc w:val="right"/>
              <w:ind w:right="9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4"/>
              </w:rPr>
              <w:t>Derivative</w:t>
            </w:r>
          </w:p>
        </w:tc>
        <w:tc>
          <w:tcPr>
            <w:tcW w:w="280" w:type="dxa"/>
            <w:vAlign w:val="bottom"/>
          </w:tcPr>
          <w:p>
            <w:pPr>
              <w:spacing w:after="0"/>
              <w:rPr>
                <w:sz w:val="11"/>
                <w:szCs w:val="11"/>
                <w:color w:val="auto"/>
              </w:rPr>
            </w:pP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Qualified</w:t>
            </w:r>
          </w:p>
        </w:tc>
        <w:tc>
          <w:tcPr>
            <w:tcW w:w="8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61.72</w:t>
            </w:r>
          </w:p>
        </w:tc>
        <w:tc>
          <w:tcPr>
            <w:tcW w:w="1020" w:type="dxa"/>
            <w:vAlign w:val="bottom"/>
            <w:vMerge w:val="restart"/>
          </w:tcPr>
          <w:p>
            <w:pPr>
              <w:jc w:val="right"/>
              <w:ind w:right="158"/>
              <w:spacing w:after="0"/>
              <w:rPr>
                <w:sz w:val="20"/>
                <w:szCs w:val="20"/>
                <w:color w:val="auto"/>
              </w:rPr>
            </w:pPr>
            <w:r>
              <w:rPr>
                <w:rFonts w:ascii="Arial" w:cs="Arial" w:eastAsia="Arial" w:hAnsi="Arial"/>
                <w:sz w:val="13"/>
                <w:szCs w:val="13"/>
                <w:color w:val="0000FF"/>
              </w:rPr>
              <w:t>11/03/2014</w:t>
            </w:r>
          </w:p>
        </w:tc>
        <w:tc>
          <w:tcPr>
            <w:tcW w:w="116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2,596</w:t>
            </w:r>
            <w:r>
              <w:rPr>
                <w:rFonts w:ascii="Arial" w:cs="Arial" w:eastAsia="Arial" w:hAnsi="Arial"/>
                <w:sz w:val="22"/>
                <w:szCs w:val="22"/>
                <w:color w:val="008000"/>
                <w:vertAlign w:val="superscript"/>
              </w:rPr>
              <w:t>(3)</w:t>
            </w:r>
          </w:p>
        </w:tc>
        <w:tc>
          <w:tcPr>
            <w:tcW w:w="28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0"/>
              <w:spacing w:after="0"/>
              <w:rPr>
                <w:sz w:val="20"/>
                <w:szCs w:val="20"/>
                <w:color w:val="auto"/>
              </w:rPr>
            </w:pPr>
            <w:r>
              <w:rPr>
                <w:rFonts w:ascii="Arial" w:cs="Arial" w:eastAsia="Arial" w:hAnsi="Arial"/>
                <w:sz w:val="13"/>
                <w:szCs w:val="13"/>
                <w:color w:val="0000FF"/>
              </w:rPr>
              <w:t>11/03/2024</w:t>
            </w:r>
          </w:p>
        </w:tc>
        <w:tc>
          <w:tcPr>
            <w:tcW w:w="680" w:type="dxa"/>
            <w:vAlign w:val="bottom"/>
          </w:tcPr>
          <w:p>
            <w:pPr>
              <w:ind w:left="4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137"/>
              <w:spacing w:after="0" w:line="278" w:lineRule="exact"/>
              <w:rPr>
                <w:sz w:val="20"/>
                <w:szCs w:val="20"/>
                <w:color w:val="auto"/>
              </w:rPr>
            </w:pPr>
            <w:r>
              <w:rPr>
                <w:rFonts w:ascii="Arial" w:cs="Arial" w:eastAsia="Arial" w:hAnsi="Arial"/>
                <w:sz w:val="32"/>
                <w:szCs w:val="32"/>
                <w:color w:val="0000FF"/>
                <w:vertAlign w:val="subscript"/>
              </w:rPr>
              <w:t>0</w:t>
            </w:r>
            <w:r>
              <w:rPr>
                <w:rFonts w:ascii="Arial" w:cs="Arial" w:eastAsia="Arial" w:hAnsi="Arial"/>
                <w:sz w:val="11"/>
                <w:szCs w:val="11"/>
                <w:color w:val="008000"/>
              </w:rPr>
              <w:t>(5)</w:t>
            </w:r>
          </w:p>
        </w:tc>
        <w:tc>
          <w:tcPr>
            <w:tcW w:w="78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vMerge w:val="restart"/>
          </w:tcPr>
          <w:p>
            <w:pPr>
              <w:ind w:left="260"/>
              <w:spacing w:after="0"/>
              <w:rPr>
                <w:sz w:val="20"/>
                <w:szCs w:val="20"/>
                <w:color w:val="auto"/>
              </w:rPr>
            </w:pPr>
            <w:r>
              <w:rPr>
                <w:rFonts w:ascii="Arial" w:cs="Arial" w:eastAsia="Arial" w:hAnsi="Arial"/>
                <w:sz w:val="13"/>
                <w:szCs w:val="13"/>
                <w:color w:val="0000FF"/>
                <w:w w:val="92"/>
              </w:rPr>
              <w:t>2,596</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common stock award for service as a non-employee director issued under The Toro Company 2010 Equity and Incentive Plan, as amended (the "2010 Plan").</w:t>
      </w:r>
    </w:p>
    <w:p>
      <w:pPr>
        <w:spacing w:after="0" w:line="50" w:lineRule="exact"/>
        <w:rPr>
          <w:rFonts w:ascii="Arial" w:cs="Arial" w:eastAsia="Arial" w:hAnsi="Arial"/>
          <w:sz w:val="13"/>
          <w:szCs w:val="13"/>
          <w:color w:val="008000"/>
        </w:rPr>
      </w:pPr>
    </w:p>
    <w:p>
      <w:pPr>
        <w:ind w:left="40" w:right="18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34.504 common stock units acquired by the reporting person under the dividend reinvestment feature of The Toro Company Deferred Compensation Plan for Non-Employee Directors since the date of his last report.</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option grant for service as a non-employee director issued under the 2010 Plan.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amount of underlying securities is 2,596.</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520" w:type="dxa"/>
            <w:vAlign w:val="bottom"/>
          </w:tcPr>
          <w:p>
            <w:pPr>
              <w:spacing w:after="0"/>
              <w:rPr>
                <w:sz w:val="16"/>
                <w:szCs w:val="16"/>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9"/>
              </w:rPr>
              <w:t>11/05/2014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 hereby constitutes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appoints each of Timothy P. Dordell, Nancy A. McGrath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Angela D. Snavely, signing singly, true and lawful attorneys-in-fact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relative to the filings identified below in connection with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undersigned's derivative and non-derivative securities of The Toro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(the ?Company?) to:</w:t>
      </w:r>
    </w:p>
    <w:p>
      <w:pPr>
        <w:spacing w:after="0" w:line="208" w:lineRule="exact"/>
        <w:rPr>
          <w:sz w:val="20"/>
          <w:szCs w:val="20"/>
          <w:color w:val="auto"/>
        </w:rPr>
      </w:pPr>
    </w:p>
    <w:p>
      <w:pPr>
        <w:ind w:right="3139" w:firstLine="7"/>
        <w:spacing w:after="0" w:line="250" w:lineRule="auto"/>
        <w:tabs>
          <w:tab w:leader="none" w:pos="83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198" w:lineRule="exact"/>
        <w:rPr>
          <w:rFonts w:ascii="Courier New" w:cs="Courier New" w:eastAsia="Courier New" w:hAnsi="Courier New"/>
          <w:sz w:val="17"/>
          <w:szCs w:val="17"/>
          <w:color w:val="auto"/>
        </w:rPr>
      </w:pPr>
    </w:p>
    <w:p>
      <w:pPr>
        <w:ind w:left="840" w:hanging="833"/>
        <w:spacing w:after="0"/>
        <w:tabs>
          <w:tab w:leader="none" w:pos="8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w:t>
      </w:r>
    </w:p>
    <w:p>
      <w:pPr>
        <w:spacing w:after="0" w:line="8" w:lineRule="exact"/>
        <w:rPr>
          <w:sz w:val="20"/>
          <w:szCs w:val="20"/>
          <w:color w:val="auto"/>
        </w:rPr>
      </w:pPr>
    </w:p>
    <w:p>
      <w:pPr>
        <w:ind w:right="3539"/>
        <w:spacing w:after="0" w:line="250" w:lineRule="auto"/>
        <w:rPr>
          <w:sz w:val="20"/>
          <w:szCs w:val="20"/>
          <w:color w:val="auto"/>
        </w:rPr>
      </w:pPr>
      <w:r>
        <w:rPr>
          <w:rFonts w:ascii="Courier New" w:cs="Courier New" w:eastAsia="Courier New" w:hAnsi="Courier New"/>
          <w:sz w:val="17"/>
          <w:szCs w:val="17"/>
          <w:color w:val="auto"/>
        </w:rPr>
        <w:t>in the undersigned?s capacity as a director of the Company, any Form 144 in accordance with Rule 144 under the Securities Act of 1933, as amended, and the rules and regulations thereunder (the ?Securities Act?);</w:t>
      </w:r>
    </w:p>
    <w:p>
      <w:pPr>
        <w:spacing w:after="0" w:line="199" w:lineRule="exact"/>
        <w:rPr>
          <w:sz w:val="20"/>
          <w:szCs w:val="20"/>
          <w:color w:val="auto"/>
        </w:rPr>
      </w:pPr>
    </w:p>
    <w:p>
      <w:pPr>
        <w:ind w:right="3139" w:firstLine="7"/>
        <w:spacing w:after="0" w:line="250" w:lineRule="auto"/>
        <w:tabs>
          <w:tab w:leader="none" w:pos="833"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98" w:lineRule="exact"/>
        <w:rPr>
          <w:rFonts w:ascii="Courier New" w:cs="Courier New" w:eastAsia="Courier New" w:hAnsi="Courier New"/>
          <w:sz w:val="17"/>
          <w:szCs w:val="17"/>
          <w:color w:val="auto"/>
        </w:rPr>
      </w:pPr>
    </w:p>
    <w:p>
      <w:pPr>
        <w:ind w:right="3139" w:firstLine="7"/>
        <w:spacing w:after="0" w:line="249" w:lineRule="auto"/>
        <w:tabs>
          <w:tab w:leader="none" w:pos="833"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04" w:lineRule="exact"/>
        <w:rPr>
          <w:sz w:val="20"/>
          <w:szCs w:val="20"/>
          <w:color w:val="auto"/>
        </w:rPr>
      </w:pPr>
    </w:p>
    <w:p>
      <w:pPr>
        <w:ind w:right="3019"/>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gridSpan w:val="2"/>
          </w:tcPr>
          <w:p>
            <w:pPr>
              <w:spacing w:after="0"/>
              <w:rPr>
                <w:sz w:val="20"/>
                <w:szCs w:val="20"/>
                <w:color w:val="auto"/>
              </w:rPr>
            </w:pPr>
            <w:r>
              <w:rPr>
                <w:rFonts w:ascii="Courier New" w:cs="Courier New" w:eastAsia="Courier New" w:hAnsi="Courier New"/>
                <w:sz w:val="17"/>
                <w:szCs w:val="17"/>
                <w:color w:val="auto"/>
              </w:rPr>
              <w:t>IN WITNESS WHEREOF, the undersigned has</w:t>
            </w:r>
          </w:p>
        </w:tc>
        <w:tc>
          <w:tcPr>
            <w:tcW w:w="720" w:type="dxa"/>
            <w:vAlign w:val="bottom"/>
          </w:tcPr>
          <w:p>
            <w:pPr>
              <w:ind w:left="60"/>
              <w:spacing w:after="0"/>
              <w:rPr>
                <w:sz w:val="20"/>
                <w:szCs w:val="20"/>
                <w:color w:val="auto"/>
              </w:rPr>
            </w:pPr>
            <w:r>
              <w:rPr>
                <w:rFonts w:ascii="Courier New" w:cs="Courier New" w:eastAsia="Courier New" w:hAnsi="Courier New"/>
                <w:sz w:val="17"/>
                <w:szCs w:val="17"/>
                <w:color w:val="auto"/>
              </w:rPr>
              <w:t>caused</w:t>
            </w:r>
          </w:p>
        </w:tc>
        <w:tc>
          <w:tcPr>
            <w:tcW w:w="2240" w:type="dxa"/>
            <w:vAlign w:val="bottom"/>
          </w:tcPr>
          <w:p>
            <w:pPr>
              <w:ind w:left="60"/>
              <w:spacing w:after="0"/>
              <w:rPr>
                <w:sz w:val="20"/>
                <w:szCs w:val="20"/>
                <w:color w:val="auto"/>
              </w:rPr>
            </w:pPr>
            <w:r>
              <w:rPr>
                <w:rFonts w:ascii="Courier New" w:cs="Courier New" w:eastAsia="Courier New" w:hAnsi="Courier New"/>
                <w:sz w:val="17"/>
                <w:szCs w:val="17"/>
                <w:color w:val="auto"/>
              </w:rPr>
              <w:t>this Limited Power</w:t>
            </w:r>
          </w:p>
        </w:tc>
      </w:tr>
      <w:tr>
        <w:trPr>
          <w:trHeight w:val="200"/>
        </w:trPr>
        <w:tc>
          <w:tcPr>
            <w:tcW w:w="4120" w:type="dxa"/>
            <w:vAlign w:val="bottom"/>
            <w:gridSpan w:val="2"/>
          </w:tcPr>
          <w:p>
            <w:pPr>
              <w:spacing w:after="0"/>
              <w:rPr>
                <w:sz w:val="20"/>
                <w:szCs w:val="20"/>
                <w:color w:val="auto"/>
              </w:rPr>
            </w:pPr>
            <w:r>
              <w:rPr>
                <w:rFonts w:ascii="Courier New" w:cs="Courier New" w:eastAsia="Courier New" w:hAnsi="Courier New"/>
                <w:sz w:val="17"/>
                <w:szCs w:val="17"/>
                <w:color w:val="auto"/>
              </w:rPr>
              <w:t>of Attorney to be executed effective as</w:t>
            </w:r>
          </w:p>
        </w:tc>
        <w:tc>
          <w:tcPr>
            <w:tcW w:w="720" w:type="dxa"/>
            <w:vAlign w:val="bottom"/>
          </w:tcPr>
          <w:p>
            <w:pPr>
              <w:ind w:left="60"/>
              <w:spacing w:after="0"/>
              <w:rPr>
                <w:sz w:val="20"/>
                <w:szCs w:val="20"/>
                <w:color w:val="auto"/>
              </w:rPr>
            </w:pPr>
            <w:r>
              <w:rPr>
                <w:rFonts w:ascii="Courier New" w:cs="Courier New" w:eastAsia="Courier New" w:hAnsi="Courier New"/>
                <w:sz w:val="17"/>
                <w:szCs w:val="17"/>
                <w:color w:val="auto"/>
              </w:rPr>
              <w:t>of the</w:t>
            </w:r>
          </w:p>
        </w:tc>
        <w:tc>
          <w:tcPr>
            <w:tcW w:w="2240" w:type="dxa"/>
            <w:vAlign w:val="bottom"/>
          </w:tcPr>
          <w:p>
            <w:pPr>
              <w:ind w:left="60"/>
              <w:spacing w:after="0"/>
              <w:rPr>
                <w:sz w:val="20"/>
                <w:szCs w:val="20"/>
                <w:color w:val="auto"/>
              </w:rPr>
            </w:pPr>
            <w:r>
              <w:rPr>
                <w:rFonts w:ascii="Courier New" w:cs="Courier New" w:eastAsia="Courier New" w:hAnsi="Courier New"/>
                <w:sz w:val="17"/>
                <w:szCs w:val="17"/>
                <w:color w:val="auto"/>
              </w:rPr>
              <w:t>date indicated below,</w:t>
            </w:r>
          </w:p>
        </w:tc>
      </w:tr>
      <w:tr>
        <w:trPr>
          <w:trHeight w:val="200"/>
        </w:trPr>
        <w:tc>
          <w:tcPr>
            <w:tcW w:w="4120" w:type="dxa"/>
            <w:vAlign w:val="bottom"/>
            <w:gridSpan w:val="2"/>
          </w:tcPr>
          <w:p>
            <w:pPr>
              <w:spacing w:after="0"/>
              <w:rPr>
                <w:sz w:val="20"/>
                <w:szCs w:val="20"/>
                <w:color w:val="auto"/>
              </w:rPr>
            </w:pPr>
            <w:r>
              <w:rPr>
                <w:rFonts w:ascii="Courier New" w:cs="Courier New" w:eastAsia="Courier New" w:hAnsi="Courier New"/>
                <w:sz w:val="17"/>
                <w:szCs w:val="17"/>
                <w:color w:val="auto"/>
              </w:rPr>
              <w:t>and said Power of Attorney shall remain</w:t>
            </w:r>
          </w:p>
        </w:tc>
        <w:tc>
          <w:tcPr>
            <w:tcW w:w="29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in effect until revoked by</w:t>
            </w:r>
          </w:p>
        </w:tc>
      </w:tr>
      <w:tr>
        <w:trPr>
          <w:trHeight w:val="200"/>
        </w:trPr>
        <w:tc>
          <w:tcPr>
            <w:tcW w:w="4840" w:type="dxa"/>
            <w:vAlign w:val="bottom"/>
            <w:gridSpan w:val="3"/>
          </w:tcPr>
          <w:p>
            <w:pPr>
              <w:spacing w:after="0"/>
              <w:rPr>
                <w:sz w:val="20"/>
                <w:szCs w:val="20"/>
                <w:color w:val="auto"/>
              </w:rPr>
            </w:pPr>
            <w:r>
              <w:rPr>
                <w:rFonts w:ascii="Courier New" w:cs="Courier New" w:eastAsia="Courier New" w:hAnsi="Courier New"/>
                <w:sz w:val="17"/>
                <w:szCs w:val="17"/>
                <w:color w:val="auto"/>
              </w:rPr>
              <w:t>the undersigned in writing, or at such time as</w:t>
            </w:r>
          </w:p>
        </w:tc>
        <w:tc>
          <w:tcPr>
            <w:tcW w:w="2240" w:type="dxa"/>
            <w:vAlign w:val="bottom"/>
          </w:tcPr>
          <w:p>
            <w:pPr>
              <w:ind w:left="60"/>
              <w:spacing w:after="0"/>
              <w:rPr>
                <w:sz w:val="20"/>
                <w:szCs w:val="20"/>
                <w:color w:val="auto"/>
              </w:rPr>
            </w:pPr>
            <w:r>
              <w:rPr>
                <w:rFonts w:ascii="Courier New" w:cs="Courier New" w:eastAsia="Courier New" w:hAnsi="Courier New"/>
                <w:sz w:val="17"/>
                <w:szCs w:val="17"/>
                <w:color w:val="auto"/>
              </w:rPr>
              <w:t>the undersigned is</w:t>
            </w:r>
          </w:p>
        </w:tc>
      </w:tr>
      <w:tr>
        <w:trPr>
          <w:trHeight w:val="200"/>
        </w:trPr>
        <w:tc>
          <w:tcPr>
            <w:tcW w:w="4840" w:type="dxa"/>
            <w:vAlign w:val="bottom"/>
            <w:gridSpan w:val="3"/>
          </w:tcPr>
          <w:p>
            <w:pPr>
              <w:spacing w:after="0"/>
              <w:rPr>
                <w:sz w:val="20"/>
                <w:szCs w:val="20"/>
                <w:color w:val="auto"/>
              </w:rPr>
            </w:pPr>
            <w:r>
              <w:rPr>
                <w:rFonts w:ascii="Courier New" w:cs="Courier New" w:eastAsia="Courier New" w:hAnsi="Courier New"/>
                <w:sz w:val="17"/>
                <w:szCs w:val="17"/>
                <w:color w:val="auto"/>
              </w:rPr>
              <w:t>no longer a director of the Company, whichever</w:t>
            </w:r>
          </w:p>
        </w:tc>
        <w:tc>
          <w:tcPr>
            <w:tcW w:w="2240" w:type="dxa"/>
            <w:vAlign w:val="bottom"/>
          </w:tcPr>
          <w:p>
            <w:pPr>
              <w:ind w:left="60"/>
              <w:spacing w:after="0"/>
              <w:rPr>
                <w:sz w:val="20"/>
                <w:szCs w:val="20"/>
                <w:color w:val="auto"/>
              </w:rPr>
            </w:pPr>
            <w:r>
              <w:rPr>
                <w:rFonts w:ascii="Courier New" w:cs="Courier New" w:eastAsia="Courier New" w:hAnsi="Courier New"/>
                <w:sz w:val="17"/>
                <w:szCs w:val="17"/>
                <w:color w:val="auto"/>
              </w:rPr>
              <w:t>first occurs.</w:t>
            </w:r>
          </w:p>
        </w:tc>
      </w:tr>
      <w:tr>
        <w:trPr>
          <w:trHeight w:val="601"/>
        </w:trPr>
        <w:tc>
          <w:tcPr>
            <w:tcW w:w="780" w:type="dxa"/>
            <w:vAlign w:val="bottom"/>
          </w:tcPr>
          <w:p>
            <w:pPr>
              <w:spacing w:after="0"/>
              <w:rPr>
                <w:sz w:val="20"/>
                <w:szCs w:val="20"/>
                <w:color w:val="auto"/>
              </w:rPr>
            </w:pPr>
            <w:r>
              <w:rPr>
                <w:rFonts w:ascii="Courier New" w:cs="Courier New" w:eastAsia="Courier New" w:hAnsi="Courier New"/>
                <w:sz w:val="17"/>
                <w:szCs w:val="17"/>
                <w:color w:val="auto"/>
              </w:rPr>
              <w:t>Signed:</w:t>
            </w:r>
          </w:p>
        </w:tc>
        <w:tc>
          <w:tcPr>
            <w:tcW w:w="3340" w:type="dxa"/>
            <w:vAlign w:val="bottom"/>
          </w:tcPr>
          <w:p>
            <w:pPr>
              <w:ind w:left="900"/>
              <w:spacing w:after="0"/>
              <w:rPr>
                <w:sz w:val="20"/>
                <w:szCs w:val="20"/>
                <w:color w:val="auto"/>
              </w:rPr>
            </w:pPr>
            <w:r>
              <w:rPr>
                <w:rFonts w:ascii="Courier New" w:cs="Courier New" w:eastAsia="Courier New" w:hAnsi="Courier New"/>
                <w:sz w:val="17"/>
                <w:szCs w:val="17"/>
                <w:color w:val="auto"/>
              </w:rPr>
              <w:t>/s/ Gregg W. Steinhafel</w:t>
            </w:r>
          </w:p>
        </w:tc>
        <w:tc>
          <w:tcPr>
            <w:tcW w:w="7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00"/>
        </w:trPr>
        <w:tc>
          <w:tcPr>
            <w:tcW w:w="780" w:type="dxa"/>
            <w:vAlign w:val="bottom"/>
          </w:tcPr>
          <w:p>
            <w:pPr>
              <w:spacing w:after="0"/>
              <w:rPr>
                <w:sz w:val="17"/>
                <w:szCs w:val="17"/>
                <w:color w:val="auto"/>
              </w:rPr>
            </w:pPr>
          </w:p>
        </w:tc>
        <w:tc>
          <w:tcPr>
            <w:tcW w:w="3340" w:type="dxa"/>
            <w:vAlign w:val="bottom"/>
          </w:tcPr>
          <w:p>
            <w:pPr>
              <w:ind w:left="900"/>
              <w:spacing w:after="0"/>
              <w:rPr>
                <w:sz w:val="20"/>
                <w:szCs w:val="20"/>
                <w:color w:val="auto"/>
              </w:rPr>
            </w:pPr>
            <w:r>
              <w:rPr>
                <w:rFonts w:ascii="Courier New" w:cs="Courier New" w:eastAsia="Courier New" w:hAnsi="Courier New"/>
                <w:sz w:val="17"/>
                <w:szCs w:val="17"/>
                <w:color w:val="auto"/>
              </w:rPr>
              <w:t>Gregg W. Steinhafel</w:t>
            </w:r>
          </w:p>
        </w:tc>
        <w:tc>
          <w:tcPr>
            <w:tcW w:w="7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401"/>
        </w:trPr>
        <w:tc>
          <w:tcPr>
            <w:tcW w:w="780" w:type="dxa"/>
            <w:vAlign w:val="bottom"/>
          </w:tcPr>
          <w:p>
            <w:pPr>
              <w:spacing w:after="0"/>
              <w:rPr>
                <w:sz w:val="20"/>
                <w:szCs w:val="20"/>
                <w:color w:val="auto"/>
              </w:rPr>
            </w:pPr>
            <w:r>
              <w:rPr>
                <w:rFonts w:ascii="Courier New" w:cs="Courier New" w:eastAsia="Courier New" w:hAnsi="Courier New"/>
                <w:sz w:val="17"/>
                <w:szCs w:val="17"/>
                <w:color w:val="auto"/>
              </w:rPr>
              <w:t>Dated:</w:t>
            </w:r>
          </w:p>
        </w:tc>
        <w:tc>
          <w:tcPr>
            <w:tcW w:w="3340" w:type="dxa"/>
            <w:vAlign w:val="bottom"/>
          </w:tcPr>
          <w:p>
            <w:pPr>
              <w:jc w:val="right"/>
              <w:ind w:right="2153"/>
              <w:spacing w:after="0"/>
              <w:rPr>
                <w:sz w:val="20"/>
                <w:szCs w:val="20"/>
                <w:color w:val="auto"/>
              </w:rPr>
            </w:pPr>
            <w:r>
              <w:rPr>
                <w:rFonts w:ascii="Courier New" w:cs="Courier New" w:eastAsia="Courier New" w:hAnsi="Courier New"/>
                <w:sz w:val="17"/>
                <w:szCs w:val="17"/>
                <w:color w:val="auto"/>
              </w:rPr>
              <w:t>11/10/2013</w:t>
            </w:r>
          </w:p>
        </w:tc>
        <w:tc>
          <w:tcPr>
            <w:tcW w:w="72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172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2019-12-17T02:20:45Z</dcterms:created>
  <dcterms:modified xsi:type="dcterms:W3CDTF">2019-12-17T02:20:45Z</dcterms:modified>
</cp:coreProperties>
</file>