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23, 2012</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40"/>
          </w:cols>
          <w:pgMar w:left="240" w:top="544" w:right="199" w:bottom="0" w:gutter="0" w:footer="0" w:header="0"/>
          <w:type w:val="continuous"/>
        </w:sectPr>
      </w:pPr>
    </w:p>
    <w:p>
      <w:pPr>
        <w:spacing w:after="0" w:line="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40"/>
          </w:cols>
          <w:pgMar w:left="240" w:top="544" w:right="199" w:bottom="0" w:gutter="0" w:footer="0" w:header="0"/>
          <w:type w:val="continuous"/>
        </w:sectPr>
      </w:pP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4"/>
          <w:szCs w:val="24"/>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left="820"/>
        <w:spacing w:after="0"/>
        <w:rPr>
          <w:sz w:val="20"/>
          <w:szCs w:val="20"/>
          <w:color w:val="auto"/>
        </w:rPr>
      </w:pPr>
      <w:r>
        <w:rPr>
          <w:rFonts w:ascii="Arial" w:cs="Arial" w:eastAsia="Arial" w:hAnsi="Arial"/>
          <w:sz w:val="18"/>
          <w:szCs w:val="18"/>
          <w:color w:val="auto"/>
        </w:rPr>
        <w:t>On August 23, 2012, The Toro Company announced its earnings for the three and nine months ended August 3, 2012.</w:t>
      </w:r>
    </w:p>
    <w:p>
      <w:pPr>
        <w:spacing w:after="0" w:line="225" w:lineRule="exact"/>
        <w:rPr>
          <w:sz w:val="24"/>
          <w:szCs w:val="24"/>
          <w:color w:val="auto"/>
        </w:rPr>
      </w:pPr>
    </w:p>
    <w:p>
      <w:pPr>
        <w:ind w:left="820" w:right="8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Company’s press release in connection with this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8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4"/>
          <w:szCs w:val="24"/>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1340" w:hanging="522"/>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8340" w:type="dxa"/>
            <w:vAlign w:val="bottom"/>
          </w:tcPr>
          <w:p>
            <w:pPr>
              <w:jc w:val="right"/>
              <w:ind w:right="3716"/>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r>
      <w:tr>
        <w:trPr>
          <w:trHeight w:val="224"/>
        </w:trPr>
        <w:tc>
          <w:tcPr>
            <w:tcW w:w="900" w:type="dxa"/>
            <w:vAlign w:val="bottom"/>
          </w:tcPr>
          <w:p>
            <w:pPr>
              <w:spacing w:after="0"/>
              <w:rPr>
                <w:sz w:val="19"/>
                <w:szCs w:val="19"/>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19"/>
                <w:szCs w:val="19"/>
                <w:color w:val="auto"/>
              </w:rPr>
            </w:pPr>
          </w:p>
        </w:tc>
        <w:tc>
          <w:tcPr>
            <w:tcW w:w="8340" w:type="dxa"/>
            <w:vAlign w:val="bottom"/>
            <w:tcBorders>
              <w:top w:val="single" w:sz="8" w:color="auto"/>
            </w:tcBorders>
          </w:tcPr>
          <w:p>
            <w:pPr>
              <w:jc w:val="right"/>
              <w:ind w:right="4076"/>
              <w:spacing w:after="0"/>
              <w:rPr>
                <w:sz w:val="20"/>
                <w:szCs w:val="20"/>
                <w:color w:val="auto"/>
              </w:rPr>
            </w:pPr>
            <w:r>
              <w:rPr>
                <w:rFonts w:ascii="Arial" w:cs="Arial" w:eastAsia="Arial" w:hAnsi="Arial"/>
                <w:sz w:val="18"/>
                <w:szCs w:val="18"/>
                <w:color w:val="auto"/>
                <w:w w:val="89"/>
              </w:rPr>
              <w:t>Press release dated August 23, 2012 (furnished herewith).</w:t>
            </w:r>
          </w:p>
        </w:tc>
        <w:tc>
          <w:tcPr>
            <w:tcW w:w="200" w:type="dxa"/>
            <w:vAlign w:val="bottom"/>
          </w:tcPr>
          <w:p>
            <w:pPr>
              <w:spacing w:after="0"/>
              <w:rPr>
                <w:sz w:val="19"/>
                <w:szCs w:val="19"/>
                <w:color w:val="auto"/>
              </w:rPr>
            </w:pPr>
          </w:p>
        </w:tc>
      </w:tr>
      <w:tr>
        <w:trPr>
          <w:trHeight w:val="418"/>
        </w:trPr>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40" w:type="dxa"/>
            <w:vAlign w:val="bottom"/>
          </w:tcPr>
          <w:p>
            <w:pPr>
              <w:jc w:val="right"/>
              <w:ind w:right="5416"/>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r>
      <w:tr>
        <w:trPr>
          <w:trHeight w:val="132"/>
        </w:trPr>
        <w:tc>
          <w:tcPr>
            <w:tcW w:w="90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83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740" w:type="dxa"/>
            <w:vAlign w:val="bottom"/>
            <w:gridSpan w:val="2"/>
          </w:tcPr>
          <w:p>
            <w:pPr>
              <w:ind w:left="3020"/>
              <w:spacing w:after="0"/>
              <w:rPr>
                <w:sz w:val="20"/>
                <w:szCs w:val="20"/>
                <w:color w:val="auto"/>
              </w:rPr>
            </w:pPr>
            <w:r>
              <w:rPr>
                <w:rFonts w:ascii="Arial" w:cs="Arial" w:eastAsia="Arial" w:hAnsi="Arial"/>
                <w:sz w:val="18"/>
                <w:szCs w:val="18"/>
                <w:color w:val="auto"/>
              </w:rPr>
              <w:t>THE TORO COMPANY</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740" w:type="dxa"/>
            <w:vAlign w:val="bottom"/>
            <w:gridSpan w:val="2"/>
          </w:tcPr>
          <w:p>
            <w:pPr>
              <w:ind w:left="302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20"/>
                <w:szCs w:val="20"/>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Date: August 23, 2012</w:t>
            </w:r>
          </w:p>
        </w:tc>
        <w:tc>
          <w:tcPr>
            <w:tcW w:w="260" w:type="dxa"/>
            <w:vAlign w:val="bottom"/>
          </w:tcPr>
          <w:p>
            <w:pPr>
              <w:spacing w:after="0"/>
              <w:rPr>
                <w:sz w:val="24"/>
                <w:szCs w:val="24"/>
                <w:color w:val="auto"/>
              </w:rPr>
            </w:pPr>
          </w:p>
        </w:tc>
        <w:tc>
          <w:tcPr>
            <w:tcW w:w="8740" w:type="dxa"/>
            <w:vAlign w:val="bottom"/>
            <w:gridSpan w:val="2"/>
          </w:tcPr>
          <w:p>
            <w:pPr>
              <w:ind w:left="302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0" w:type="dxa"/>
            <w:vAlign w:val="bottom"/>
          </w:tcPr>
          <w:p>
            <w:pPr>
              <w:ind w:left="3020"/>
              <w:spacing w:after="0" w:line="182" w:lineRule="exact"/>
              <w:rPr>
                <w:sz w:val="20"/>
                <w:szCs w:val="20"/>
                <w:color w:val="auto"/>
              </w:rPr>
            </w:pPr>
            <w:r>
              <w:rPr>
                <w:rFonts w:ascii="Arial" w:cs="Arial" w:eastAsia="Arial" w:hAnsi="Arial"/>
                <w:sz w:val="17"/>
                <w:szCs w:val="17"/>
                <w:color w:val="auto"/>
                <w:w w:val="71"/>
              </w:rPr>
              <w:t>Renee</w:t>
            </w:r>
          </w:p>
        </w:tc>
        <w:tc>
          <w:tcPr>
            <w:tcW w:w="534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740" w:type="dxa"/>
            <w:vAlign w:val="bottom"/>
            <w:gridSpan w:val="2"/>
          </w:tcPr>
          <w:p>
            <w:pPr>
              <w:ind w:left="3020"/>
              <w:spacing w:after="0"/>
              <w:rPr>
                <w:sz w:val="20"/>
                <w:szCs w:val="20"/>
                <w:color w:val="auto"/>
              </w:rPr>
            </w:pPr>
            <w:r>
              <w:rPr>
                <w:rFonts w:ascii="Arial" w:cs="Arial" w:eastAsia="Arial" w:hAnsi="Arial"/>
                <w:sz w:val="18"/>
                <w:szCs w:val="18"/>
                <w:color w:val="auto"/>
              </w:rPr>
              <w:t>Vice President, Finance and</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740" w:type="dxa"/>
            <w:vAlign w:val="bottom"/>
            <w:gridSpan w:val="2"/>
          </w:tcPr>
          <w:p>
            <w:pPr>
              <w:ind w:left="302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660" w:type="dxa"/>
            <w:vAlign w:val="bottom"/>
            <w:gridSpan w:val="2"/>
          </w:tcPr>
          <w:p>
            <w:pPr>
              <w:ind w:left="3240"/>
              <w:spacing w:after="0"/>
              <w:rPr>
                <w:sz w:val="20"/>
                <w:szCs w:val="20"/>
                <w:color w:val="auto"/>
              </w:rPr>
            </w:pPr>
            <w:r>
              <w:rPr>
                <w:rFonts w:ascii="Arial" w:cs="Arial" w:eastAsia="Arial" w:hAnsi="Arial"/>
                <w:sz w:val="18"/>
                <w:szCs w:val="18"/>
                <w:color w:val="auto"/>
              </w:rPr>
              <w:t>4</w:t>
            </w:r>
          </w:p>
        </w:tc>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4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74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40" w:type="dxa"/>
            <w:vAlign w:val="bottom"/>
            <w:gridSpan w:val="2"/>
          </w:tcPr>
          <w:p>
            <w:pPr>
              <w:ind w:left="234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340" w:type="dxa"/>
            <w:vAlign w:val="bottom"/>
          </w:tcPr>
          <w:p>
            <w:pPr>
              <w:ind w:left="4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2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19"/>
                <w:szCs w:val="19"/>
                <w:color w:val="auto"/>
              </w:rPr>
            </w:pPr>
          </w:p>
        </w:tc>
        <w:tc>
          <w:tcPr>
            <w:tcW w:w="8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dated August 23, 2012 (furnished herewith).</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660" w:type="dxa"/>
            <w:vAlign w:val="bottom"/>
            <w:gridSpan w:val="2"/>
          </w:tcPr>
          <w:p>
            <w:pPr>
              <w:ind w:left="3240"/>
              <w:spacing w:after="0"/>
              <w:rPr>
                <w:sz w:val="20"/>
                <w:szCs w:val="20"/>
                <w:color w:val="auto"/>
              </w:rPr>
            </w:pPr>
            <w:r>
              <w:rPr>
                <w:rFonts w:ascii="Arial" w:cs="Arial" w:eastAsia="Arial" w:hAnsi="Arial"/>
                <w:sz w:val="18"/>
                <w:szCs w:val="18"/>
                <w:color w:val="auto"/>
              </w:rPr>
              <w:t>5</w:t>
            </w:r>
          </w:p>
        </w:tc>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4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400" w:type="dxa"/>
            <w:vAlign w:val="bottom"/>
            <w:tcBorders>
              <w:bottom w:val="single" w:sz="8" w:color="010101"/>
            </w:tcBorders>
          </w:tcPr>
          <w:p>
            <w:pPr>
              <w:spacing w:after="0"/>
              <w:rPr>
                <w:sz w:val="11"/>
                <w:szCs w:val="11"/>
                <w:color w:val="auto"/>
              </w:rPr>
            </w:pPr>
          </w:p>
        </w:tc>
        <w:tc>
          <w:tcPr>
            <w:tcW w:w="53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037590" cy="702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3759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Kurt Svendsen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Corporate Communications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887-8630, kurt.svendsen@toro.com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887-8930, branden.happel@toro.com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Reports Record 2012 Third Quarter Results</w:t>
      </w:r>
    </w:p>
    <w:p>
      <w:pPr>
        <w:spacing w:after="0" w:line="229"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 quarter sales increase to $504 million; Year-to-date sales growth nearly 7 percent</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earnings per share for the quarter up 22 percent to a record $0.67</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Company now expects EPS for the year to be about $2.10, up 14 percent from last year</w:t>
      </w:r>
    </w:p>
    <w:p>
      <w:pPr>
        <w:spacing w:after="0" w:line="21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BLOOMINGTON, Minn. (August 23, 2012) — The Toro Company (NYSE: TTC) today reported net earnings of $40.5 million, or $0.67 per share, on a net sales increase of 0.6 percent to $504.1 million for its fiscal third quarter ended August 3, 2012. In the comparable fiscal 2011 period, the company delivered net earnings of $35.1 million, or $0.55 per share, on net sales of $501 million.</w:t>
      </w:r>
    </w:p>
    <w:p>
      <w:pPr>
        <w:spacing w:after="0" w:line="18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For the first nine months, Toro reported net earnings of $129.3 million, or $2.13 per share, on a net sales increase of 6.8 percent to $1,619.4 million. In the comparable fiscal 2011 period, the company posted net earnings of $112.6 million, or $1.76 per share, on net sales of $1,515.9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figures for all periods reported have been adjusted to reflect the effects of a 2-for-1 stock split effective June 29, 2012.</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May, we anticipated a slowdown in the second half of our fiscal year due to a more challenging economic environment and the impact the early start to spring had on the business. What we didn’t predict was the worst drought in over 50 years,” said Michael J. Hoffman, Toro’s chairman and chief executive officer. “We were still able to deliver favorable third quarter results in comparison to last year, but the combined impact of economic and weather conditions resulted in additional slowing of retail momentum and an increase in field inventory.”</w:t>
      </w:r>
    </w:p>
    <w:p>
      <w:pPr>
        <w:spacing w:after="0" w:line="18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“Despite the recent drought conditions, there continues to be many positives in our businesses. Our market positions remain strong, benefitting from a strong portfolio of new products. Year-to-date retail continues to be ahead of last year for many of our businesses including golf and micro irrigation. Even walk power mower sales are ahead of last year. And our internal focus on quality, cost and productivity helped deliver improved operating performance.”</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“Given the effects of recent weather conditions, the ongoing economic struggles in Europe, and the desire to right size field inventory levels, we are adjusting our fourth quarter guidance as we prepare the company for a successful 2013.”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now expects revenue growth for fiscal 2012 to be about 4 to 5 percent and net earnings to be about $2.10 per share, which continues to include the $0.08 negative earnings per share impact for investments related to the Astec and Stone product-line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left="340" w:right="80" w:hanging="332"/>
        <w:spacing w:after="0" w:line="293" w:lineRule="auto"/>
        <w:tabs>
          <w:tab w:leader="none" w:pos="304"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Professional segment net sales for the third quarter totaled $361.1 million, up 4.4 percent from the prior year period. Sales of landscape maintenance equipment increased on the strength of new products and continued demand in markets not impacted by drought. Domestic sales of golf equipment and irrigation were up on new products and continued golf industry confidence. Micro irrigation sales increased domestically as demand continues for better solutions for agricultural irrigation. Recent acquisitions - including Astec Underground, Stone Construction Equipment and Unique Lighting Systems - also contributed to sales. International economic issues and unfavorable currency exchange negatively impacted the sales of all professional businesses. For the first nine months, professional segment net sales were $1,100.9 million, up 7.7 percent from the comparable fiscal 2011 period</w:t>
      </w:r>
    </w:p>
    <w:p>
      <w:pPr>
        <w:spacing w:after="0" w:line="164" w:lineRule="exact"/>
        <w:rPr>
          <w:rFonts w:ascii="Arial" w:cs="Arial" w:eastAsia="Arial" w:hAnsi="Arial"/>
          <w:sz w:val="16"/>
          <w:szCs w:val="16"/>
          <w:color w:val="auto"/>
        </w:rPr>
      </w:pPr>
    </w:p>
    <w:p>
      <w:pPr>
        <w:ind w:left="340" w:right="60" w:hanging="332"/>
        <w:spacing w:after="0" w:line="277"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 segment earnings for the third quarter totaled $70.5 million, up 9.6 percent from the prior year period. For the first nine months, professional segment earnings were $211.3 million, up 12.5 percent from the comparable fiscal 2011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jc w:val="both"/>
        <w:ind w:left="340" w:right="260" w:hanging="332"/>
        <w:spacing w:after="0" w:line="279" w:lineRule="auto"/>
        <w:tabs>
          <w:tab w:leader="none" w:pos="304" w:val="left"/>
        </w:tabs>
        <w:numPr>
          <w:ilvl w:val="0"/>
          <w:numId w:val="5"/>
        </w:numPr>
        <w:rPr>
          <w:rFonts w:ascii="Arial" w:cs="Arial" w:eastAsia="Arial" w:hAnsi="Arial"/>
          <w:sz w:val="17"/>
          <w:szCs w:val="17"/>
          <w:color w:val="auto"/>
        </w:rPr>
      </w:pPr>
      <w:r>
        <w:rPr>
          <w:rFonts w:ascii="Arial" w:cs="Arial" w:eastAsia="Arial" w:hAnsi="Arial"/>
          <w:sz w:val="17"/>
          <w:szCs w:val="17"/>
          <w:color w:val="auto"/>
        </w:rPr>
        <w:t>Residential segment net sales for the third quarter totaled $135.9 million, down 7.9 percent from the prior year period. As expected, snow blower sales were lower for the quarter due to anticipated soft preseason demand. Shipments of walk power mowers were up slightly for the quarter, while sales of residential riding products were down. Sales of Toro’s new string and hedge trimmers also contributed incrementally to the quarter. For the first nine months, residential segment net sales were $505.4 million, up 5.2 percent from the comparable fiscal 2011 period.</w:t>
      </w:r>
    </w:p>
    <w:p>
      <w:pPr>
        <w:sectPr>
          <w:pgSz w:w="11900" w:h="16838" w:orient="portrait"/>
          <w:cols w:equalWidth="0" w:num="1">
            <w:col w:w="11420"/>
          </w:cols>
          <w:pgMar w:left="240" w:top="121" w:right="239" w:bottom="0" w:gutter="0" w:footer="0" w:header="0"/>
        </w:sectPr>
      </w:pPr>
    </w:p>
    <w:bookmarkStart w:id="3" w:name="page4"/>
    <w:bookmarkEnd w:id="3"/>
    <w:p>
      <w:pPr>
        <w:spacing w:after="0" w:line="32" w:lineRule="exact"/>
        <w:rPr>
          <w:sz w:val="20"/>
          <w:szCs w:val="20"/>
          <w:color w:val="auto"/>
        </w:rPr>
      </w:pPr>
    </w:p>
    <w:p>
      <w:pPr>
        <w:ind w:left="340" w:hanging="332"/>
        <w:spacing w:after="0" w:line="286" w:lineRule="auto"/>
        <w:tabs>
          <w:tab w:leader="none" w:pos="304" w:val="left"/>
        </w:tabs>
        <w:numPr>
          <w:ilvl w:val="0"/>
          <w:numId w:val="6"/>
        </w:numPr>
        <w:rPr>
          <w:rFonts w:ascii="Arial" w:cs="Arial" w:eastAsia="Arial" w:hAnsi="Arial"/>
          <w:sz w:val="17"/>
          <w:szCs w:val="17"/>
          <w:color w:val="auto"/>
        </w:rPr>
      </w:pPr>
      <w:r>
        <w:rPr>
          <w:rFonts w:ascii="Arial" w:cs="Arial" w:eastAsia="Arial" w:hAnsi="Arial"/>
          <w:sz w:val="17"/>
          <w:szCs w:val="17"/>
          <w:color w:val="auto"/>
        </w:rPr>
        <w:t>Residential segment earnings for the third quarter totaled $10 million, up 116.6 percent from our fiscal 2011 third quarter, when a pre-tax charge of $4.5 million to account for one-time costs associated with a rework issue affecting a large number of walk power mowers resulted in a decline in earnings. For the first nine months, residential segment earnings were $51.2 million, up 20.3 percent from the comparable fiscal 2011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Gross margin for the quarter improved 180 basis points to 35.3 percent due to realized pricing offsetting higher materials costs, a stronger professional/residential mix, and the absence of last year’s walk power mower rework impact. For the first nine months, gross margin was up 40 basis points to 34.6 percent.</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Selling, general and administrative (SG&amp;A) expense as a percent of sales increased 60 basis points for the third quarter to 23.2 percent. For the first nine months, SG&amp;A expense improved 50 basis points as a percent of sales to 22.1 percent.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Operating earnings as a percent of sales increased 120 basis points to 12.1 percent for the third quarter, and was up 90 basis points to 12.5 percent for the year to date.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Interest expense for the third quarter was $4.2 million, down 2.2 percent compared to the prior year period. For the first nine months, interest expense totaled $12.8 million, up 1.5 percent from the same period last year.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effective tax rate for the third quarter was 31.8 percent compared with 32.9 percent in the same period last year. Year to date, the tax rate increased to 33.3 percent from 32.8 percent due to the expiration of the Federal Research and Engineering Tax Credit.</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Accounts receivable at the end of the third quarter totaled $197 million, down 1 percent from the prior year period, on a sales increase of nearly 1 percent. Net inventories were $234.8 million, up 1 percent from last year’s third quarter. Trade payables were $124.2 million, down 2 percent compared with last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Toro Company is a leading worldwide provider of turf and landscape maintenance equipment, and irrigation solutions, to help customers care for golf courses, sports fields, public green spaces, commercial and residential properties, and agricultural fields.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23, 10:00 a.m. CDT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www.thetorocompany.com/invest</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The Toro Company will conduct its earnings call and webcast for investors beginning at 10:00 a.m. CDT on August 23, 2012. The webcast will be available at www.streetevents.com or at www.thetorocompany.com/invest. Webcast participants will need to complete a brief registration form and should allocate extra time before the webcast begins to register and, if necessary, download and install audio software.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or negative growth rates in global and domestic economies, resulting in rising or persistent unemployment and weakened consumer confidence; the threat of terrorist acts and war, which may result in contraction of the U.S. and worldwide economies; drug cartel-related violence, which may disrupt our production activities and maquiladora operations based in Juarez, Mexico; fluctuations in the cost and availability of raw materials and components, including steel, engines, hydraulics, resins and other commodities and components; fluctuating fuel and other costs of transportation; the impact of abnormal weather patterns, natural disasters and global pandemics; the level of growth or contraction in our key markets; government and municipal revenue, budget and spending levels, which may negatively impact our grounds maintenance equipment business in the event of reduced tax revenues and tighter government budgets; dependence on The Home Depot as a customer for the residential segment; elimination of shelf space for our products at retailers; inventory adjustments or changes in purchasing patterns by our customers; market acceptance of existing and new products; increased competition; our ability to achieve the revenue growth, operating earnings and employee engagement goals of our multi-year employee initiative called “Destination 2014”; our increased dependence on international sales and the risks attendant to international operations and markets, including political, economic and/or social instability in the countries in which we manufacture or sell our products resulting in contraction or disruption of such markets; credit availability and terms, interest rates and currency movements including, in particular, our exposure to foreign currency risk; our relationships with our distribution channel partners, including the financial viability of distributors and dealers; our ability to successfully achieve our plans for and integrate acquisitions and manage alliances or joint ventures, including Red Iron Acceptance, LLC; the costs and effects of changes in tax, fiscal, government and other regulatory policies, including rules relating to environmental, health and safety matters, and Tier 4 emissions requirements; unforeseen product quality or other problems in the development, production and usage of new and existing products; loss of or changes in executive management or key employees; ability of management to manage around unplanned events; our reliance on our intellectual property rights and the absence of infringement of the intellectual property rights of others; and the occurrence of litigation or claims. In addition to the factors set forth in this paragraph, market, economic, financial, competitive, legislative, governmental,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release.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tables follow)</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70"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TORO COMPANY AND SUBSIDIARIES</w:t>
      </w:r>
    </w:p>
    <w:p>
      <w:pPr>
        <w:sectPr>
          <w:pgSz w:w="11900" w:h="16870" w:orient="portrait"/>
          <w:cols w:equalWidth="0" w:num="1">
            <w:col w:w="11400"/>
          </w:cols>
          <w:pgMar w:left="240" w:top="125" w:right="259" w:bottom="0" w:gutter="0" w:footer="0" w:header="0"/>
          <w:type w:val="continuous"/>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02"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2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August 3,</w:t>
            </w: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53"/>
              <w:spacing w:after="0" w:line="119" w:lineRule="exact"/>
              <w:rPr>
                <w:sz w:val="20"/>
                <w:szCs w:val="20"/>
                <w:color w:val="auto"/>
              </w:rPr>
            </w:pPr>
            <w:r>
              <w:rPr>
                <w:rFonts w:ascii="Arial" w:cs="Arial" w:eastAsia="Arial" w:hAnsi="Arial"/>
                <w:sz w:val="13"/>
                <w:szCs w:val="13"/>
                <w:b w:val="1"/>
                <w:bCs w:val="1"/>
                <w:color w:val="auto"/>
              </w:rPr>
              <w:t>July 29,</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August 3,</w:t>
            </w: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53"/>
              <w:spacing w:after="0" w:line="119" w:lineRule="exact"/>
              <w:rPr>
                <w:sz w:val="20"/>
                <w:szCs w:val="20"/>
                <w:color w:val="auto"/>
              </w:rPr>
            </w:pPr>
            <w:r>
              <w:rPr>
                <w:rFonts w:ascii="Arial" w:cs="Arial" w:eastAsia="Arial" w:hAnsi="Arial"/>
                <w:sz w:val="13"/>
                <w:szCs w:val="13"/>
                <w:b w:val="1"/>
                <w:bCs w:val="1"/>
                <w:color w:val="auto"/>
              </w:rPr>
              <w:t>July 29,</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504,076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501,045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1,619,396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1,515,858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Gross profit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178,122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167,661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560,195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517,860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 percent</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w:t>
            </w:r>
          </w:p>
        </w:tc>
        <w:tc>
          <w:tcPr>
            <w:tcW w:w="4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117,137</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112,937</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358,689</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342,580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earnings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54,724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(4,198)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(4,294)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(12,791)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4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Earnings before income taxes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59,468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52,291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193,946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167,244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64,656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earnings</w:t>
            </w:r>
          </w:p>
        </w:tc>
        <w:tc>
          <w:tcPr>
            <w:tcW w:w="4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40,549</w:t>
            </w: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35,091</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129,290</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112,623</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Basic net earnings per share</w:t>
            </w:r>
          </w:p>
        </w:tc>
        <w:tc>
          <w:tcPr>
            <w:tcW w:w="7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0.69</w:t>
            </w:r>
          </w:p>
        </w:tc>
        <w:tc>
          <w:tcPr>
            <w:tcW w:w="220" w:type="dxa"/>
            <w:vAlign w:val="bottom"/>
          </w:tcPr>
          <w:p>
            <w:pPr>
              <w:spacing w:after="0"/>
              <w:rPr>
                <w:sz w:val="22"/>
                <w:szCs w:val="22"/>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0.56</w:t>
            </w:r>
          </w:p>
        </w:tc>
        <w:tc>
          <w:tcPr>
            <w:tcW w:w="220" w:type="dxa"/>
            <w:vAlign w:val="bottom"/>
          </w:tcPr>
          <w:p>
            <w:pPr>
              <w:spacing w:after="0"/>
              <w:rPr>
                <w:sz w:val="22"/>
                <w:szCs w:val="22"/>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22"/>
                <w:szCs w:val="22"/>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Diluted net earnings per share</w:t>
            </w:r>
          </w:p>
        </w:tc>
        <w:tc>
          <w:tcPr>
            <w:tcW w:w="7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0.67</w:t>
            </w:r>
          </w:p>
        </w:tc>
        <w:tc>
          <w:tcPr>
            <w:tcW w:w="220" w:type="dxa"/>
            <w:vAlign w:val="bottom"/>
          </w:tcPr>
          <w:p>
            <w:pPr>
              <w:spacing w:after="0"/>
              <w:rPr>
                <w:sz w:val="22"/>
                <w:szCs w:val="22"/>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0.55</w:t>
            </w:r>
          </w:p>
        </w:tc>
        <w:tc>
          <w:tcPr>
            <w:tcW w:w="220" w:type="dxa"/>
            <w:vAlign w:val="bottom"/>
          </w:tcPr>
          <w:p>
            <w:pPr>
              <w:spacing w:after="0"/>
              <w:rPr>
                <w:sz w:val="22"/>
                <w:szCs w:val="22"/>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22"/>
                <w:szCs w:val="22"/>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20" w:type="dxa"/>
            <w:vAlign w:val="bottom"/>
          </w:tcPr>
          <w:p>
            <w:pPr>
              <w:spacing w:after="0" w:line="201" w:lineRule="exact"/>
              <w:rPr>
                <w:sz w:val="20"/>
                <w:szCs w:val="20"/>
                <w:color w:val="auto"/>
              </w:rPr>
            </w:pPr>
            <w:r>
              <w:rPr>
                <w:rFonts w:ascii="Arial" w:cs="Arial" w:eastAsia="Arial" w:hAnsi="Arial"/>
                <w:sz w:val="18"/>
                <w:szCs w:val="18"/>
                <w:color w:val="auto"/>
                <w:w w:val="99"/>
              </w:rPr>
              <w:t>Weighted average number of shares of common stock</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outstanding — Basic</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59,045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62,353</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59,642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62,982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20" w:type="dxa"/>
            <w:vAlign w:val="bottom"/>
          </w:tcPr>
          <w:p>
            <w:pPr>
              <w:spacing w:after="0" w:line="201" w:lineRule="exact"/>
              <w:rPr>
                <w:sz w:val="20"/>
                <w:szCs w:val="20"/>
                <w:color w:val="auto"/>
              </w:rPr>
            </w:pPr>
            <w:r>
              <w:rPr>
                <w:rFonts w:ascii="Arial" w:cs="Arial" w:eastAsia="Arial" w:hAnsi="Arial"/>
                <w:sz w:val="18"/>
                <w:szCs w:val="18"/>
                <w:color w:val="auto"/>
                <w:w w:val="99"/>
              </w:rPr>
              <w:t>Weighted average number of shares of common stock</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outstanding — Diluted</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60,336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63,479</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60,829</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64,125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June 29, 2012.</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Segment Data (Unaudited)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6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900" w:type="dxa"/>
            <w:vAlign w:val="bottom"/>
            <w:gridSpan w:val="6"/>
          </w:tcPr>
          <w:p>
            <w:pPr>
              <w:ind w:left="66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 Net Sales</w:t>
            </w:r>
          </w:p>
        </w:tc>
        <w:tc>
          <w:tcPr>
            <w:tcW w:w="2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7"/>
              </w:rPr>
              <w:t>August 3,</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76"/>
              <w:spacing w:after="0" w:line="119" w:lineRule="exact"/>
              <w:rPr>
                <w:sz w:val="20"/>
                <w:szCs w:val="20"/>
                <w:color w:val="auto"/>
              </w:rPr>
            </w:pPr>
            <w:r>
              <w:rPr>
                <w:rFonts w:ascii="Arial" w:cs="Arial" w:eastAsia="Arial" w:hAnsi="Arial"/>
                <w:sz w:val="13"/>
                <w:szCs w:val="13"/>
                <w:b w:val="1"/>
                <w:bCs w:val="1"/>
                <w:color w:val="auto"/>
              </w:rPr>
              <w:t>July 29,</w:t>
            </w:r>
          </w:p>
        </w:tc>
        <w:tc>
          <w:tcPr>
            <w:tcW w:w="2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7"/>
              </w:rPr>
              <w:t>August 3,</w:t>
            </w: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76"/>
              <w:spacing w:after="0" w:line="119" w:lineRule="exact"/>
              <w:rPr>
                <w:sz w:val="20"/>
                <w:szCs w:val="20"/>
                <w:color w:val="auto"/>
              </w:rPr>
            </w:pPr>
            <w:r>
              <w:rPr>
                <w:rFonts w:ascii="Arial" w:cs="Arial" w:eastAsia="Arial" w:hAnsi="Arial"/>
                <w:sz w:val="13"/>
                <w:szCs w:val="13"/>
                <w:b w:val="1"/>
                <w:bCs w:val="1"/>
                <w:color w:val="auto"/>
              </w:rPr>
              <w:t>July 29,</w:t>
            </w:r>
          </w:p>
        </w:tc>
        <w:tc>
          <w:tcPr>
            <w:tcW w:w="12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46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6"/>
              </w:rPr>
              <w:t>2012</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8"/>
              <w:spacing w:after="0"/>
              <w:rPr>
                <w:sz w:val="20"/>
                <w:szCs w:val="20"/>
                <w:color w:val="auto"/>
              </w:rPr>
            </w:pPr>
            <w:r>
              <w:rPr>
                <w:rFonts w:ascii="Arial" w:cs="Arial" w:eastAsia="Arial" w:hAnsi="Arial"/>
                <w:sz w:val="14"/>
                <w:szCs w:val="14"/>
                <w:b w:val="1"/>
                <w:bCs w:val="1"/>
                <w:color w:val="auto"/>
                <w:w w:val="89"/>
              </w:rPr>
              <w:t>2012</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43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361,120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345,972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1,100,899</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1,022,536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135,894</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147,479</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505,399</w:t>
            </w: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480,404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7,062</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7,594</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13,098</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12,918</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4660" w:type="dxa"/>
            <w:vAlign w:val="bottom"/>
            <w:gridSpan w:val="3"/>
          </w:tcPr>
          <w:p>
            <w:pPr>
              <w:ind w:left="180"/>
              <w:spacing w:after="0"/>
              <w:rPr>
                <w:sz w:val="20"/>
                <w:szCs w:val="20"/>
                <w:color w:val="auto"/>
              </w:rPr>
            </w:pPr>
            <w:r>
              <w:rPr>
                <w:rFonts w:ascii="Arial" w:cs="Arial" w:eastAsia="Arial" w:hAnsi="Arial"/>
                <w:sz w:val="18"/>
                <w:szCs w:val="18"/>
                <w:color w:val="auto"/>
              </w:rPr>
              <w:t>Total *</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504,076</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501,045</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1,619,396</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1,515,858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04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4660" w:type="dxa"/>
            <w:vAlign w:val="bottom"/>
            <w:gridSpan w:val="3"/>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Includes international sales of</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133,120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146,678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479,790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487,325</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24"/>
                <w:szCs w:val="24"/>
                <w:color w:val="auto"/>
              </w:rPr>
            </w:pPr>
          </w:p>
        </w:tc>
        <w:tc>
          <w:tcPr>
            <w:tcW w:w="2900" w:type="dxa"/>
            <w:vAlign w:val="bottom"/>
            <w:gridSpan w:val="6"/>
          </w:tcPr>
          <w:p>
            <w:pPr>
              <w:ind w:left="66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 Earnings (Loss) Before Income Taxes</w:t>
            </w:r>
          </w:p>
        </w:tc>
        <w:tc>
          <w:tcPr>
            <w:tcW w:w="2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7"/>
              </w:rPr>
              <w:t>August 3,</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76"/>
              <w:spacing w:after="0" w:line="119" w:lineRule="exact"/>
              <w:rPr>
                <w:sz w:val="20"/>
                <w:szCs w:val="20"/>
                <w:color w:val="auto"/>
              </w:rPr>
            </w:pPr>
            <w:r>
              <w:rPr>
                <w:rFonts w:ascii="Arial" w:cs="Arial" w:eastAsia="Arial" w:hAnsi="Arial"/>
                <w:sz w:val="13"/>
                <w:szCs w:val="13"/>
                <w:b w:val="1"/>
                <w:bCs w:val="1"/>
                <w:color w:val="auto"/>
              </w:rPr>
              <w:t>July 29,</w:t>
            </w:r>
          </w:p>
        </w:tc>
        <w:tc>
          <w:tcPr>
            <w:tcW w:w="2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7"/>
              </w:rPr>
              <w:t>August 3,</w:t>
            </w: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76"/>
              <w:spacing w:after="0" w:line="119" w:lineRule="exact"/>
              <w:rPr>
                <w:sz w:val="20"/>
                <w:szCs w:val="20"/>
                <w:color w:val="auto"/>
              </w:rPr>
            </w:pPr>
            <w:r>
              <w:rPr>
                <w:rFonts w:ascii="Arial" w:cs="Arial" w:eastAsia="Arial" w:hAnsi="Arial"/>
                <w:sz w:val="13"/>
                <w:szCs w:val="13"/>
                <w:b w:val="1"/>
                <w:bCs w:val="1"/>
                <w:color w:val="auto"/>
              </w:rPr>
              <w:t>July 29,</w:t>
            </w:r>
          </w:p>
        </w:tc>
        <w:tc>
          <w:tcPr>
            <w:tcW w:w="12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46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6"/>
              </w:rPr>
              <w:t>2012</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8"/>
              <w:spacing w:after="0"/>
              <w:rPr>
                <w:sz w:val="20"/>
                <w:szCs w:val="20"/>
                <w:color w:val="auto"/>
              </w:rPr>
            </w:pPr>
            <w:r>
              <w:rPr>
                <w:rFonts w:ascii="Arial" w:cs="Arial" w:eastAsia="Arial" w:hAnsi="Arial"/>
                <w:sz w:val="14"/>
                <w:szCs w:val="14"/>
                <w:b w:val="1"/>
                <w:bCs w:val="1"/>
                <w:color w:val="auto"/>
                <w:w w:val="89"/>
              </w:rPr>
              <w:t>2012</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43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70,537</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64,344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211,329</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187,869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10,048</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4,638</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51,174</w:t>
            </w: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42,545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(21,117)</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(16,691)</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(68,557)</w:t>
            </w: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466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59,468</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52,291</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193,946</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167,244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60" w:type="dxa"/>
            <w:vAlign w:val="bottom"/>
            <w:tcBorders>
              <w:bottom w:val="single" w:sz="8" w:color="010101"/>
            </w:tcBorders>
          </w:tcPr>
          <w:p>
            <w:pPr>
              <w:spacing w:after="0"/>
              <w:rPr>
                <w:sz w:val="24"/>
                <w:szCs w:val="24"/>
                <w:color w:val="auto"/>
              </w:rPr>
            </w:pPr>
          </w:p>
        </w:tc>
        <w:tc>
          <w:tcPr>
            <w:tcW w:w="2620" w:type="dxa"/>
            <w:vAlign w:val="bottom"/>
            <w:tcBorders>
              <w:bottom w:val="single" w:sz="8" w:color="010101"/>
            </w:tcBorders>
          </w:tcPr>
          <w:p>
            <w:pPr>
              <w:spacing w:after="0"/>
              <w:rPr>
                <w:sz w:val="24"/>
                <w:szCs w:val="24"/>
                <w:color w:val="auto"/>
              </w:rPr>
            </w:pPr>
          </w:p>
        </w:tc>
        <w:tc>
          <w:tcPr>
            <w:tcW w:w="17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1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1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August 3,</w:t>
            </w:r>
          </w:p>
        </w:tc>
        <w:tc>
          <w:tcPr>
            <w:tcW w:w="26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5340" w:type="dxa"/>
            <w:vAlign w:val="bottom"/>
            <w:tcBorders>
              <w:bottom w:val="single" w:sz="8" w:color="CCEEFF"/>
            </w:tcBorders>
            <w:gridSpan w:val="2"/>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143,058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118,113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197,023</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234,790</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24,436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62,368</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59,908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661,675</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629,651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177,723</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and other assets, net</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147,054</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149,283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Total assets</w:t>
            </w:r>
          </w:p>
        </w:tc>
        <w:tc>
          <w:tcPr>
            <w:tcW w:w="23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986,528</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967,547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80" w:type="dxa"/>
            <w:vAlign w:val="bottom"/>
            <w:gridSpan w:val="3"/>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4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Short-term debt</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124,168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126,688</w:t>
            </w:r>
          </w:p>
        </w:tc>
        <w:tc>
          <w:tcPr>
            <w:tcW w:w="0" w:type="dxa"/>
            <w:vAlign w:val="bottom"/>
          </w:tcPr>
          <w:p>
            <w:pPr>
              <w:spacing w:after="0"/>
              <w:rPr>
                <w:sz w:val="1"/>
                <w:szCs w:val="1"/>
                <w:color w:val="auto"/>
              </w:rPr>
            </w:pPr>
          </w:p>
        </w:tc>
      </w:tr>
    </w:tbl>
    <w:p>
      <w:pPr>
        <w:sectPr>
          <w:pgSz w:w="11900" w:h="16838" w:orient="portrait"/>
          <w:cols w:equalWidth="0" w:num="1">
            <w:col w:w="11460"/>
          </w:cols>
          <w:pgMar w:left="240" w:top="121" w:right="19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2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278,797</w:t>
            </w:r>
          </w:p>
        </w:tc>
        <w:tc>
          <w:tcPr>
            <w:tcW w:w="4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268,200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6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404,823</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223,467</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225,162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Deferred revenue</w:t>
            </w:r>
          </w:p>
        </w:tc>
        <w:tc>
          <w:tcPr>
            <w:tcW w:w="2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11,289</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10,776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1,380</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7,822</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7,560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337,747</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326,380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6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986,528</w:t>
            </w:r>
          </w:p>
        </w:tc>
        <w:tc>
          <w:tcPr>
            <w:tcW w:w="2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967,547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5680" w:type="dxa"/>
            <w:vAlign w:val="bottom"/>
            <w:tcBorders>
              <w:bottom w:val="single" w:sz="8" w:color="010101"/>
            </w:tcBorders>
          </w:tcPr>
          <w:p>
            <w:pPr>
              <w:spacing w:after="0"/>
              <w:rPr>
                <w:sz w:val="24"/>
                <w:szCs w:val="24"/>
                <w:color w:val="auto"/>
              </w:rPr>
            </w:pPr>
          </w:p>
        </w:tc>
        <w:tc>
          <w:tcPr>
            <w:tcW w:w="260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August 3,</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51"/>
              <w:spacing w:after="0" w:line="119" w:lineRule="exact"/>
              <w:rPr>
                <w:sz w:val="20"/>
                <w:szCs w:val="20"/>
                <w:color w:val="auto"/>
              </w:rPr>
            </w:pPr>
            <w:r>
              <w:rPr>
                <w:rFonts w:ascii="Arial" w:cs="Arial" w:eastAsia="Arial" w:hAnsi="Arial"/>
                <w:sz w:val="13"/>
                <w:szCs w:val="13"/>
                <w:b w:val="1"/>
                <w:bCs w:val="1"/>
                <w:color w:val="auto"/>
              </w:rPr>
              <w:t>July 29,</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earnings</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129,290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112,623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Noncash income from affiliates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(4,521)</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(4,433)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depreciation, amortization, and impairment losses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37,929</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7,465</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6,094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deferred income taxes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(51,640)</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(53,335)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(6,114)</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(8,994)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59,986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165,407</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71,838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 net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(28,158)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from finance affiliate, net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(9,663)</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(14,060)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(56,261)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Decrease in short-term debt</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(922)</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long-term debt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(1,892)</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8,080</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17,337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Purchases of Toro common stock</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(67,354)</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(71,216)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Toro common stock</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(19,748)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(64,499)</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(77,267)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(2,806)</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62,172</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(59,253)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80,886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period</w:t>
            </w:r>
          </w:p>
        </w:tc>
        <w:tc>
          <w:tcPr>
            <w:tcW w:w="8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143,058</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118,113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jc w:val="right"/>
              <w:ind w:right="149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740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2019-12-09T08:26:29Z</dcterms:created>
  <dcterms:modified xsi:type="dcterms:W3CDTF">2019-12-09T08:26:29Z</dcterms:modified>
</cp:coreProperties>
</file>