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December 1, 2009</w:t>
      </w: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ectPr>
          <w:pgSz w:w="11900" w:h="16838" w:orient="portrait"/>
          <w:cols w:equalWidth="0" w:num="1">
            <w:col w:w="11400"/>
          </w:cols>
          <w:pgMar w:left="240" w:top="1030" w:right="259" w:bottom="1440" w:gutter="0" w:footer="0" w:header="0"/>
        </w:sectPr>
      </w:pPr>
    </w:p>
    <w:p>
      <w:pPr>
        <w:spacing w:after="0" w:line="4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60"/>
        <w:spacing w:after="0"/>
        <w:tabs>
          <w:tab w:leader="none" w:pos="55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p>
    <w:p>
      <w:pPr>
        <w:spacing w:after="0" w:line="27" w:lineRule="exact"/>
        <w:rPr>
          <w:sz w:val="24"/>
          <w:szCs w:val="24"/>
          <w:color w:val="auto"/>
        </w:rPr>
      </w:pPr>
    </w:p>
    <w:p>
      <w:pPr>
        <w:ind w:left="1080"/>
        <w:spacing w:after="0"/>
        <w:tabs>
          <w:tab w:leader="none" w:pos="476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(Address of principal executive offices)</w:t>
      </w:r>
    </w:p>
    <w:p>
      <w:pPr>
        <w:spacing w:after="0" w:line="292"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8"/>
          <w:szCs w:val="18"/>
          <w:color w:val="auto"/>
        </w:rPr>
        <w:t>(Zip Code)</w:t>
      </w:r>
    </w:p>
    <w:p>
      <w:pPr>
        <w:spacing w:after="0" w:line="26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7580" w:space="520"/>
            <w:col w:w="3300"/>
          </w:cols>
          <w:pgMar w:left="240" w:top="1030"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741680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2—Financial Information</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previously disclosed in a Current Report on Form 8-K dated August 12, 2009, The Toro Company, a Delaware corporation, and TCF Inventory Finance, Inc., a Minnesota corporation and direct subsidiary of TCF National Bank (“TCFIF”), established a joint venture in the form of a Delaware limited liability company named Red Iron Acceptance, LLC (“Red Iron”) to provide inventory financing, including floor plan financing and open account financing, to distributors and dealers of products of Toro and certain of its affiliates (“Toro Products”) in the United States and to select distributors of Toro Products in Canada.</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joint venture, The Toro Company and certain of its wholly-owned subsidiaries (collectively, “Toro”) agreed to sell to Red Iron, in more than one transaction to occur during Toro’s fourth quarter of fiscal 2009 and first quarter of fiscal 2010, certain floor plan and open account receivables from distributors and dealers of Toro Products and certain related assets (“Receivables”). As previously disclosed in a Current Report on Form 8-K dated October 1, 2009, Red Iron and Toro entered into the first Receivables transaction on October 1, 2009, pursuant to which Red Iron purchased from Toro certain Receivables for an aggregate purchase price of approximately $69.9 million. On October 9, 2009, Toro and Red Iron entered into a second Receivables transaction having an aggregate purchase price of approximately $2.8 million and, on December 1, 2009, Toro and Red Iron entered into a third Receivables transaction having an aggregate purchase price of approximately $18.1 million. In each transaction, the purchase price generally represented the face value of, or the purchase price paid for, the Receivables by Toro.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840" w:hanging="832"/>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Statements of Businesses Acquired. Not applicable.</w:t>
      </w:r>
    </w:p>
    <w:p>
      <w:pPr>
        <w:spacing w:after="0" w:line="252" w:lineRule="exact"/>
        <w:rPr>
          <w:rFonts w:ascii="Arial" w:cs="Arial" w:eastAsia="Arial" w:hAnsi="Arial"/>
          <w:sz w:val="18"/>
          <w:szCs w:val="18"/>
          <w:color w:val="auto"/>
        </w:rPr>
      </w:pPr>
    </w:p>
    <w:p>
      <w:pPr>
        <w:ind w:left="840" w:hanging="832"/>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spacing w:after="0" w:line="252" w:lineRule="exact"/>
        <w:rPr>
          <w:rFonts w:ascii="Arial" w:cs="Arial" w:eastAsia="Arial" w:hAnsi="Arial"/>
          <w:sz w:val="18"/>
          <w:szCs w:val="18"/>
          <w:color w:val="auto"/>
        </w:rPr>
      </w:pPr>
    </w:p>
    <w:p>
      <w:pPr>
        <w:ind w:left="840" w:hanging="832"/>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Shell Company Transactions. Not applicable.</w:t>
      </w:r>
    </w:p>
    <w:p>
      <w:pPr>
        <w:spacing w:after="0" w:line="252" w:lineRule="exact"/>
        <w:rPr>
          <w:rFonts w:ascii="Arial" w:cs="Arial" w:eastAsia="Arial" w:hAnsi="Arial"/>
          <w:sz w:val="18"/>
          <w:szCs w:val="18"/>
          <w:color w:val="auto"/>
        </w:rPr>
      </w:pPr>
    </w:p>
    <w:p>
      <w:pPr>
        <w:ind w:left="840" w:hanging="832"/>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4"/>
                <w:szCs w:val="24"/>
                <w:color w:val="auto"/>
              </w:rPr>
            </w:pPr>
          </w:p>
        </w:tc>
        <w:tc>
          <w:tcPr>
            <w:tcW w:w="9160" w:type="dxa"/>
            <w:vAlign w:val="bottom"/>
            <w:gridSpan w:val="2"/>
          </w:tcPr>
          <w:p>
            <w:pPr>
              <w:ind w:left="20"/>
              <w:spacing w:after="0"/>
              <w:rPr>
                <w:sz w:val="20"/>
                <w:szCs w:val="20"/>
                <w:color w:val="auto"/>
              </w:rPr>
            </w:pPr>
            <w:r>
              <w:rPr>
                <w:rFonts w:ascii="Arial" w:cs="Arial" w:eastAsia="Arial" w:hAnsi="Arial"/>
                <w:sz w:val="18"/>
                <w:szCs w:val="18"/>
                <w:color w:val="auto"/>
                <w:w w:val="94"/>
              </w:rPr>
              <w:t>Receivable Purchase Agreement, dated as of October 1, 2009, by and among Toro Credit Company, as Seller, The Toro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60" w:type="dxa"/>
            <w:vAlign w:val="bottom"/>
            <w:gridSpan w:val="2"/>
          </w:tcPr>
          <w:p>
            <w:pPr>
              <w:ind w:left="20"/>
              <w:spacing w:after="0"/>
              <w:rPr>
                <w:sz w:val="20"/>
                <w:szCs w:val="20"/>
                <w:color w:val="auto"/>
              </w:rPr>
            </w:pPr>
            <w:r>
              <w:rPr>
                <w:rFonts w:ascii="Arial" w:cs="Arial" w:eastAsia="Arial" w:hAnsi="Arial"/>
                <w:sz w:val="18"/>
                <w:szCs w:val="18"/>
                <w:color w:val="auto"/>
                <w:w w:val="91"/>
              </w:rPr>
              <w:t>Company, and Red Iron Acceptance, LLC, as Buyer (Incorporated by reference to Exhibit 2.1 to The Toro Company’s Current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60" w:type="dxa"/>
            <w:vAlign w:val="bottom"/>
            <w:gridSpan w:val="2"/>
          </w:tcPr>
          <w:p>
            <w:pPr>
              <w:ind w:left="20"/>
              <w:spacing w:after="0"/>
              <w:rPr>
                <w:sz w:val="20"/>
                <w:szCs w:val="20"/>
                <w:color w:val="auto"/>
              </w:rPr>
            </w:pPr>
            <w:r>
              <w:rPr>
                <w:rFonts w:ascii="Arial" w:cs="Arial" w:eastAsia="Arial" w:hAnsi="Arial"/>
                <w:sz w:val="18"/>
                <w:szCs w:val="18"/>
                <w:color w:val="auto"/>
                <w:w w:val="92"/>
              </w:rPr>
              <w:t>Report on Form 8-K dated October 1, 2009 and filed with the Securities and Exchange Commission on October 5, 2009 (File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160" w:type="dxa"/>
            <w:vAlign w:val="bottom"/>
            <w:gridSpan w:val="2"/>
          </w:tcPr>
          <w:p>
            <w:pPr>
              <w:ind w:left="20"/>
              <w:spacing w:after="0"/>
              <w:rPr>
                <w:sz w:val="20"/>
                <w:szCs w:val="20"/>
                <w:color w:val="auto"/>
              </w:rPr>
            </w:pPr>
            <w:r>
              <w:rPr>
                <w:rFonts w:ascii="Arial" w:cs="Arial" w:eastAsia="Arial" w:hAnsi="Arial"/>
                <w:sz w:val="18"/>
                <w:szCs w:val="18"/>
                <w:color w:val="auto"/>
              </w:rPr>
              <w:t>No. 1-8649))*</w:t>
            </w:r>
          </w:p>
        </w:tc>
        <w:tc>
          <w:tcPr>
            <w:tcW w:w="0" w:type="dxa"/>
            <w:vAlign w:val="bottom"/>
          </w:tcPr>
          <w:p>
            <w:pPr>
              <w:spacing w:after="0"/>
              <w:rPr>
                <w:sz w:val="1"/>
                <w:szCs w:val="1"/>
                <w:color w:val="auto"/>
              </w:rPr>
            </w:pP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1360" w:type="dxa"/>
            <w:vAlign w:val="bottom"/>
          </w:tcPr>
          <w:p>
            <w:pPr>
              <w:spacing w:after="0"/>
              <w:rPr>
                <w:sz w:val="24"/>
                <w:szCs w:val="24"/>
                <w:color w:val="auto"/>
              </w:rPr>
            </w:pPr>
          </w:p>
        </w:tc>
        <w:tc>
          <w:tcPr>
            <w:tcW w:w="9160" w:type="dxa"/>
            <w:vAlign w:val="bottom"/>
            <w:gridSpan w:val="2"/>
          </w:tcPr>
          <w:p>
            <w:pPr>
              <w:ind w:left="20"/>
              <w:spacing w:after="0"/>
              <w:rPr>
                <w:sz w:val="20"/>
                <w:szCs w:val="20"/>
                <w:color w:val="auto"/>
              </w:rPr>
            </w:pPr>
            <w:r>
              <w:rPr>
                <w:rFonts w:ascii="Arial" w:cs="Arial" w:eastAsia="Arial" w:hAnsi="Arial"/>
                <w:sz w:val="18"/>
                <w:szCs w:val="18"/>
                <w:color w:val="auto"/>
                <w:w w:val="93"/>
              </w:rPr>
              <w:t>Repurchase Agreement, dated as of October 1, 2009, by and between The Toro Company and Red Iron Acceptance, LLC</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160" w:type="dxa"/>
            <w:vAlign w:val="bottom"/>
            <w:gridSpan w:val="2"/>
          </w:tcPr>
          <w:p>
            <w:pPr>
              <w:ind w:left="20"/>
              <w:spacing w:after="0"/>
              <w:rPr>
                <w:sz w:val="20"/>
                <w:szCs w:val="20"/>
                <w:color w:val="auto"/>
              </w:rPr>
            </w:pPr>
            <w:r>
              <w:rPr>
                <w:rFonts w:ascii="Arial" w:cs="Arial" w:eastAsia="Arial" w:hAnsi="Arial"/>
                <w:sz w:val="18"/>
                <w:szCs w:val="18"/>
                <w:color w:val="auto"/>
                <w:w w:val="91"/>
              </w:rPr>
              <w:t>(Incorporated by reference to Exhibit 2.2 to The Toro Company’s Current Report on Form 8-K dated October 1, 2009 and filed</w:t>
            </w:r>
          </w:p>
        </w:tc>
        <w:tc>
          <w:tcPr>
            <w:tcW w:w="0" w:type="dxa"/>
            <w:vAlign w:val="bottom"/>
          </w:tcPr>
          <w:p>
            <w:pPr>
              <w:spacing w:after="0"/>
              <w:rPr>
                <w:sz w:val="1"/>
                <w:szCs w:val="1"/>
                <w:color w:val="auto"/>
              </w:rPr>
            </w:pPr>
          </w:p>
        </w:tc>
      </w:tr>
      <w:tr>
        <w:trPr>
          <w:trHeight w:val="230"/>
        </w:trPr>
        <w:tc>
          <w:tcPr>
            <w:tcW w:w="2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_______________</w:t>
            </w:r>
          </w:p>
        </w:tc>
        <w:tc>
          <w:tcPr>
            <w:tcW w:w="9160" w:type="dxa"/>
            <w:vAlign w:val="bottom"/>
            <w:gridSpan w:val="2"/>
          </w:tcPr>
          <w:p>
            <w:pPr>
              <w:ind w:left="20"/>
              <w:spacing w:after="0"/>
              <w:rPr>
                <w:sz w:val="20"/>
                <w:szCs w:val="20"/>
                <w:color w:val="auto"/>
              </w:rPr>
            </w:pPr>
            <w:r>
              <w:rPr>
                <w:rFonts w:ascii="Arial" w:cs="Arial" w:eastAsia="Arial" w:hAnsi="Arial"/>
                <w:sz w:val="18"/>
                <w:szCs w:val="18"/>
                <w:color w:val="auto"/>
              </w:rPr>
              <w:t>with the Securities and Exchange Commission on October 5, 2009 (File No. 1-8649))*</w:t>
            </w:r>
          </w:p>
        </w:tc>
        <w:tc>
          <w:tcPr>
            <w:tcW w:w="0" w:type="dxa"/>
            <w:vAlign w:val="bottom"/>
          </w:tcPr>
          <w:p>
            <w:pPr>
              <w:spacing w:after="0"/>
              <w:rPr>
                <w:sz w:val="1"/>
                <w:szCs w:val="1"/>
                <w:color w:val="auto"/>
              </w:rPr>
            </w:pPr>
          </w:p>
        </w:tc>
      </w:tr>
      <w:tr>
        <w:trPr>
          <w:trHeight w:val="216"/>
        </w:trPr>
        <w:tc>
          <w:tcPr>
            <w:tcW w:w="22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00" w:right="300" w:hanging="482"/>
        <w:spacing w:after="0" w:line="323"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ectPr>
          <w:pgSz w:w="11900" w:h="16838" w:orient="portrait"/>
          <w:cols w:equalWidth="0" w:num="1">
            <w:col w:w="11400"/>
          </w:cols>
          <w:pgMar w:left="240" w:top="607"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spacing w:after="0"/>
              <w:rPr>
                <w:sz w:val="19"/>
                <w:szCs w:val="19"/>
                <w:color w:val="auto"/>
              </w:rPr>
            </w:pPr>
          </w:p>
        </w:tc>
        <w:tc>
          <w:tcPr>
            <w:tcW w:w="5000" w:type="dxa"/>
            <w:vAlign w:val="bottom"/>
            <w:gridSpan w:val="3"/>
          </w:tcPr>
          <w:p>
            <w:pPr>
              <w:ind w:left="1320"/>
              <w:spacing w:after="0"/>
              <w:rPr>
                <w:sz w:val="20"/>
                <w:szCs w:val="20"/>
                <w:color w:val="auto"/>
              </w:rPr>
            </w:pPr>
            <w:r>
              <w:rPr>
                <w:rFonts w:ascii="Arial" w:cs="Arial" w:eastAsia="Arial" w:hAnsi="Arial"/>
                <w:sz w:val="18"/>
                <w:szCs w:val="18"/>
                <w:b w:val="1"/>
                <w:bCs w:val="1"/>
                <w:color w:val="auto"/>
              </w:rPr>
              <w:t>THE TORO COMPANY</w:t>
            </w:r>
          </w:p>
        </w:tc>
      </w:tr>
      <w:tr>
        <w:trPr>
          <w:trHeight w:val="230"/>
        </w:trPr>
        <w:tc>
          <w:tcPr>
            <w:tcW w:w="3080" w:type="dxa"/>
            <w:vAlign w:val="bottom"/>
          </w:tcPr>
          <w:p>
            <w:pPr>
              <w:spacing w:after="0"/>
              <w:rPr>
                <w:sz w:val="20"/>
                <w:szCs w:val="20"/>
                <w:color w:val="auto"/>
              </w:rPr>
            </w:pPr>
          </w:p>
        </w:tc>
        <w:tc>
          <w:tcPr>
            <w:tcW w:w="5000" w:type="dxa"/>
            <w:vAlign w:val="bottom"/>
            <w:gridSpan w:val="3"/>
          </w:tcPr>
          <w:p>
            <w:pPr>
              <w:ind w:left="1320"/>
              <w:spacing w:after="0"/>
              <w:rPr>
                <w:sz w:val="20"/>
                <w:szCs w:val="20"/>
                <w:color w:val="auto"/>
              </w:rPr>
            </w:pPr>
            <w:r>
              <w:rPr>
                <w:rFonts w:ascii="Arial" w:cs="Arial" w:eastAsia="Arial" w:hAnsi="Arial"/>
                <w:sz w:val="18"/>
                <w:szCs w:val="18"/>
                <w:color w:val="auto"/>
              </w:rPr>
              <w:t>(Registrant)</w:t>
            </w:r>
          </w:p>
        </w:tc>
      </w:tr>
      <w:tr>
        <w:trPr>
          <w:trHeight w:val="824"/>
        </w:trPr>
        <w:tc>
          <w:tcPr>
            <w:tcW w:w="3080" w:type="dxa"/>
            <w:vAlign w:val="bottom"/>
          </w:tcPr>
          <w:p>
            <w:pPr>
              <w:spacing w:after="0"/>
              <w:rPr>
                <w:sz w:val="20"/>
                <w:szCs w:val="20"/>
                <w:color w:val="auto"/>
              </w:rPr>
            </w:pPr>
            <w:r>
              <w:rPr>
                <w:rFonts w:ascii="Arial" w:cs="Arial" w:eastAsia="Arial" w:hAnsi="Arial"/>
                <w:sz w:val="18"/>
                <w:szCs w:val="18"/>
                <w:color w:val="auto"/>
              </w:rPr>
              <w:t>Date: December 3, 2009</w:t>
            </w:r>
          </w:p>
        </w:tc>
        <w:tc>
          <w:tcPr>
            <w:tcW w:w="5000" w:type="dxa"/>
            <w:vAlign w:val="bottom"/>
            <w:gridSpan w:val="3"/>
          </w:tcPr>
          <w:p>
            <w:pPr>
              <w:ind w:left="1280"/>
              <w:spacing w:after="0"/>
              <w:rPr>
                <w:sz w:val="20"/>
                <w:szCs w:val="20"/>
                <w:color w:val="auto"/>
              </w:rPr>
            </w:pPr>
            <w:r>
              <w:rPr>
                <w:rFonts w:ascii="Arial" w:cs="Arial" w:eastAsia="Arial" w:hAnsi="Arial"/>
                <w:sz w:val="18"/>
                <w:szCs w:val="18"/>
                <w:color w:val="auto"/>
              </w:rPr>
              <w:t>By: /s/ Stephen P. Wolfe</w:t>
            </w:r>
          </w:p>
        </w:tc>
      </w:tr>
      <w:tr>
        <w:trPr>
          <w:trHeight w:val="20"/>
        </w:trPr>
        <w:tc>
          <w:tcPr>
            <w:tcW w:w="3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22"/>
        </w:trPr>
        <w:tc>
          <w:tcPr>
            <w:tcW w:w="3080" w:type="dxa"/>
            <w:vAlign w:val="bottom"/>
          </w:tcPr>
          <w:p>
            <w:pPr>
              <w:spacing w:after="0"/>
              <w:rPr>
                <w:sz w:val="19"/>
                <w:szCs w:val="19"/>
                <w:color w:val="auto"/>
              </w:rPr>
            </w:pPr>
          </w:p>
        </w:tc>
        <w:tc>
          <w:tcPr>
            <w:tcW w:w="5000" w:type="dxa"/>
            <w:vAlign w:val="bottom"/>
            <w:gridSpan w:val="3"/>
          </w:tcPr>
          <w:p>
            <w:pPr>
              <w:ind w:left="1280"/>
              <w:spacing w:after="0"/>
              <w:rPr>
                <w:sz w:val="20"/>
                <w:szCs w:val="20"/>
                <w:color w:val="auto"/>
              </w:rPr>
            </w:pPr>
            <w:r>
              <w:rPr>
                <w:rFonts w:ascii="Arial" w:cs="Arial" w:eastAsia="Arial" w:hAnsi="Arial"/>
                <w:sz w:val="18"/>
                <w:szCs w:val="18"/>
                <w:color w:val="auto"/>
              </w:rPr>
              <w:t>Stephen P. Wolfe</w:t>
            </w:r>
          </w:p>
        </w:tc>
      </w:tr>
      <w:tr>
        <w:trPr>
          <w:trHeight w:val="230"/>
        </w:trPr>
        <w:tc>
          <w:tcPr>
            <w:tcW w:w="3080" w:type="dxa"/>
            <w:vAlign w:val="bottom"/>
          </w:tcPr>
          <w:p>
            <w:pPr>
              <w:spacing w:after="0"/>
              <w:rPr>
                <w:sz w:val="20"/>
                <w:szCs w:val="20"/>
                <w:color w:val="auto"/>
              </w:rPr>
            </w:pPr>
          </w:p>
        </w:tc>
        <w:tc>
          <w:tcPr>
            <w:tcW w:w="5000" w:type="dxa"/>
            <w:vAlign w:val="bottom"/>
            <w:gridSpan w:val="3"/>
          </w:tcPr>
          <w:p>
            <w:pPr>
              <w:ind w:left="1280"/>
              <w:spacing w:after="0"/>
              <w:rPr>
                <w:sz w:val="20"/>
                <w:szCs w:val="20"/>
                <w:color w:val="auto"/>
              </w:rPr>
            </w:pPr>
            <w:r>
              <w:rPr>
                <w:rFonts w:ascii="Arial" w:cs="Arial" w:eastAsia="Arial" w:hAnsi="Arial"/>
                <w:sz w:val="18"/>
                <w:szCs w:val="18"/>
                <w:color w:val="auto"/>
                <w:w w:val="90"/>
              </w:rPr>
              <w:t>Vice President, Finance and Chief Financial Officer</w:t>
            </w:r>
          </w:p>
        </w:tc>
      </w:tr>
    </w:tbl>
    <w:p>
      <w:pPr>
        <w:sectPr>
          <w:pgSz w:w="11900" w:h="16838" w:orient="portrait"/>
          <w:cols w:equalWidth="0" w:num="1">
            <w:col w:w="11280"/>
          </w:cols>
          <w:pgMar w:left="240" w:top="607"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 ON FORM 8-K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1"/>
              </w:rPr>
              <w:t>Exhibit No.</w:t>
            </w:r>
          </w:p>
        </w:tc>
        <w:tc>
          <w:tcPr>
            <w:tcW w:w="6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40" w:type="dxa"/>
            <w:vAlign w:val="bottom"/>
          </w:tcPr>
          <w:p>
            <w:pPr>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1"/>
                <w:szCs w:val="21"/>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w w:val="90"/>
              </w:rPr>
              <w:t>Receivable Purchase Agreement, dated as of October 1, 2009, by and among Toro</w:t>
            </w: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2.1 to The Toro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w w:val="90"/>
              </w:rPr>
              <w:t>Credit Company, as Seller, The Toro Company, and Red Iron Acceptance, LLC, as</w:t>
            </w: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Company’s Current Report on Form 8-K dated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Buyer*</w:t>
            </w: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October 1, 2009 and filed with the Securities and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0"/>
              </w:rPr>
              <w:t>Exchange Commission on October 5, 2009 (File No.</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00" w:type="dxa"/>
            <w:vAlign w:val="bottom"/>
            <w:gridSpan w:val="2"/>
          </w:tcPr>
          <w:p>
            <w:pPr>
              <w:jc w:val="center"/>
              <w:ind w:left="1170"/>
              <w:spacing w:after="0"/>
              <w:rPr>
                <w:sz w:val="20"/>
                <w:szCs w:val="20"/>
                <w:color w:val="auto"/>
              </w:rPr>
            </w:pPr>
            <w:r>
              <w:rPr>
                <w:rFonts w:ascii="Arial" w:cs="Arial" w:eastAsia="Arial" w:hAnsi="Arial"/>
                <w:sz w:val="18"/>
                <w:szCs w:val="18"/>
                <w:color w:val="auto"/>
                <w:w w:val="93"/>
              </w:rPr>
              <w:t>1-8649)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4"/>
                <w:szCs w:val="24"/>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w w:val="93"/>
              </w:rPr>
              <w:t>Repurchase Agreement, dated as of October 1, 2009, by and between The Toro</w:t>
            </w: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Incorporated by reference to Exhibit 2.2 to The Toro</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Company and Red Iron Acceptance, LLC*</w:t>
            </w: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Company’s Current Report on Form 8-K dated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1"/>
              </w:rPr>
              <w:t>October 1, 2009 and filed with the Securities and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0"/>
              </w:rPr>
              <w:t>Exchange Commission on October 5, 2009 (File No.</w:t>
            </w:r>
          </w:p>
        </w:tc>
        <w:tc>
          <w:tcPr>
            <w:tcW w:w="0" w:type="dxa"/>
            <w:vAlign w:val="bottom"/>
          </w:tcPr>
          <w:p>
            <w:pPr>
              <w:spacing w:after="0"/>
              <w:rPr>
                <w:sz w:val="1"/>
                <w:szCs w:val="1"/>
                <w:color w:val="auto"/>
              </w:rPr>
            </w:pPr>
          </w:p>
        </w:tc>
      </w:tr>
      <w:tr>
        <w:trPr>
          <w:trHeight w:val="230"/>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9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00" w:type="dxa"/>
            <w:vAlign w:val="bottom"/>
            <w:gridSpan w:val="2"/>
          </w:tcPr>
          <w:p>
            <w:pPr>
              <w:jc w:val="center"/>
              <w:ind w:left="1170"/>
              <w:spacing w:after="0"/>
              <w:rPr>
                <w:sz w:val="20"/>
                <w:szCs w:val="20"/>
                <w:color w:val="auto"/>
              </w:rPr>
            </w:pPr>
            <w:r>
              <w:rPr>
                <w:rFonts w:ascii="Arial" w:cs="Arial" w:eastAsia="Arial" w:hAnsi="Arial"/>
                <w:sz w:val="18"/>
                <w:szCs w:val="18"/>
                <w:color w:val="auto"/>
                <w:w w:val="93"/>
              </w:rPr>
              <w:t>1-8649)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2019-12-10T05:59:11Z</dcterms:created>
  <dcterms:modified xsi:type="dcterms:W3CDTF">2019-12-10T05:59:11Z</dcterms:modified>
</cp:coreProperties>
</file>